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FE" w:rsidRPr="00025804" w:rsidRDefault="00D045CA" w:rsidP="000B4B03">
      <w:pPr>
        <w:shd w:val="clear" w:color="auto" w:fill="FFFFFF"/>
        <w:spacing w:after="188" w:line="240" w:lineRule="auto"/>
        <w:ind w:firstLine="12333"/>
        <w:contextualSpacing/>
        <w:textAlignment w:val="baseline"/>
        <w:rPr>
          <w:rFonts w:ascii="Times New Roman" w:hAnsi="Times New Roman" w:cs="Times New Roman"/>
          <w:i/>
          <w:sz w:val="20"/>
          <w:szCs w:val="24"/>
        </w:rPr>
      </w:pPr>
      <w:r w:rsidRPr="00025804">
        <w:rPr>
          <w:rFonts w:ascii="Times New Roman" w:hAnsi="Times New Roman" w:cs="Times New Roman"/>
          <w:i/>
          <w:sz w:val="20"/>
          <w:szCs w:val="24"/>
        </w:rPr>
        <w:t>Приложение №</w:t>
      </w:r>
      <w:r w:rsidR="00025804" w:rsidRPr="00025804">
        <w:rPr>
          <w:rFonts w:ascii="Times New Roman" w:hAnsi="Times New Roman" w:cs="Times New Roman"/>
          <w:i/>
          <w:sz w:val="20"/>
          <w:szCs w:val="24"/>
        </w:rPr>
        <w:t xml:space="preserve"> </w:t>
      </w:r>
      <w:r w:rsidRPr="00025804">
        <w:rPr>
          <w:rFonts w:ascii="Times New Roman" w:hAnsi="Times New Roman" w:cs="Times New Roman"/>
          <w:i/>
          <w:sz w:val="20"/>
          <w:szCs w:val="24"/>
        </w:rPr>
        <w:t>1</w:t>
      </w:r>
      <w:r w:rsidR="00120BD4" w:rsidRPr="00025804">
        <w:rPr>
          <w:rFonts w:ascii="Times New Roman" w:hAnsi="Times New Roman" w:cs="Times New Roman"/>
          <w:i/>
          <w:sz w:val="20"/>
          <w:szCs w:val="24"/>
        </w:rPr>
        <w:t>8</w:t>
      </w:r>
    </w:p>
    <w:p w:rsidR="007A6EFE" w:rsidRPr="00025804" w:rsidRDefault="000B4B03" w:rsidP="000B4B03">
      <w:pPr>
        <w:shd w:val="clear" w:color="auto" w:fill="FFFFFF"/>
        <w:spacing w:after="188" w:line="240" w:lineRule="auto"/>
        <w:ind w:firstLine="12333"/>
        <w:contextualSpacing/>
        <w:textAlignment w:val="baseline"/>
        <w:rPr>
          <w:rFonts w:ascii="Times New Roman" w:hAnsi="Times New Roman" w:cs="Times New Roman"/>
          <w:i/>
          <w:sz w:val="20"/>
          <w:szCs w:val="24"/>
        </w:rPr>
      </w:pPr>
      <w:r w:rsidRPr="00025804">
        <w:rPr>
          <w:rFonts w:ascii="Times New Roman" w:hAnsi="Times New Roman" w:cs="Times New Roman"/>
          <w:i/>
          <w:sz w:val="20"/>
          <w:szCs w:val="24"/>
        </w:rPr>
        <w:t>к У</w:t>
      </w:r>
      <w:r w:rsidR="007A6EFE" w:rsidRPr="00025804">
        <w:rPr>
          <w:rFonts w:ascii="Times New Roman" w:hAnsi="Times New Roman" w:cs="Times New Roman"/>
          <w:i/>
          <w:sz w:val="20"/>
          <w:szCs w:val="24"/>
        </w:rPr>
        <w:t>четной политике</w:t>
      </w:r>
    </w:p>
    <w:p w:rsidR="007A6EFE" w:rsidRPr="007A6EFE" w:rsidRDefault="007A6EFE" w:rsidP="007A6EFE">
      <w:pPr>
        <w:shd w:val="clear" w:color="auto" w:fill="FFFFFF"/>
        <w:spacing w:after="188" w:line="240" w:lineRule="auto"/>
        <w:ind w:firstLine="709"/>
        <w:contextualSpacing/>
        <w:jc w:val="right"/>
        <w:textAlignment w:val="baseline"/>
        <w:rPr>
          <w:rFonts w:ascii="Times New Roman" w:hAnsi="Times New Roman" w:cs="Times New Roman"/>
          <w:color w:val="000000"/>
          <w:sz w:val="24"/>
          <w:szCs w:val="24"/>
        </w:rPr>
      </w:pPr>
    </w:p>
    <w:p w:rsidR="000B4B03" w:rsidRDefault="007A6EFE" w:rsidP="007A6EFE">
      <w:pPr>
        <w:spacing w:line="240" w:lineRule="auto"/>
        <w:contextualSpacing/>
        <w:jc w:val="center"/>
        <w:rPr>
          <w:rFonts w:ascii="Times New Roman" w:hAnsi="Times New Roman" w:cs="Times New Roman"/>
          <w:sz w:val="24"/>
          <w:szCs w:val="24"/>
        </w:rPr>
      </w:pPr>
      <w:bookmarkStart w:id="0" w:name="_GoBack"/>
      <w:r w:rsidRPr="007A6EFE">
        <w:rPr>
          <w:rFonts w:ascii="Times New Roman" w:hAnsi="Times New Roman" w:cs="Times New Roman"/>
          <w:sz w:val="24"/>
          <w:szCs w:val="24"/>
        </w:rPr>
        <w:t xml:space="preserve">Методика расчета резервов предстоящих расходов по фактически произведенным расходам, </w:t>
      </w:r>
    </w:p>
    <w:p w:rsidR="007A6EFE" w:rsidRPr="007A6EFE" w:rsidRDefault="007A6EFE" w:rsidP="007A6EFE">
      <w:pPr>
        <w:spacing w:line="240" w:lineRule="auto"/>
        <w:contextualSpacing/>
        <w:jc w:val="center"/>
        <w:rPr>
          <w:rFonts w:ascii="Times New Roman" w:hAnsi="Times New Roman" w:cs="Times New Roman"/>
          <w:sz w:val="24"/>
          <w:szCs w:val="24"/>
        </w:rPr>
      </w:pPr>
      <w:r w:rsidRPr="007A6EFE">
        <w:rPr>
          <w:rFonts w:ascii="Times New Roman" w:hAnsi="Times New Roman" w:cs="Times New Roman"/>
          <w:sz w:val="24"/>
          <w:szCs w:val="24"/>
        </w:rPr>
        <w:t>по которым на отчетную дату не поступили первичные учетные документы</w:t>
      </w:r>
      <w:bookmarkEnd w:id="0"/>
    </w:p>
    <w:p w:rsidR="007A6EFE" w:rsidRDefault="007A6EFE" w:rsidP="007A6EFE">
      <w:pPr>
        <w:shd w:val="clear" w:color="auto" w:fill="FFFFFF"/>
        <w:spacing w:after="188" w:line="286" w:lineRule="atLeast"/>
        <w:jc w:val="both"/>
        <w:textAlignment w:val="baseline"/>
        <w:rPr>
          <w:rFonts w:ascii="Times New Roman" w:hAnsi="Times New Roman" w:cs="Times New Roman"/>
          <w:color w:val="000000"/>
          <w:sz w:val="24"/>
          <w:szCs w:val="24"/>
        </w:rPr>
      </w:pPr>
    </w:p>
    <w:p w:rsidR="007A6EFE" w:rsidRPr="007A6EFE" w:rsidRDefault="007A6EFE" w:rsidP="007A6EFE">
      <w:pPr>
        <w:shd w:val="clear" w:color="auto" w:fill="FFFFFF"/>
        <w:spacing w:after="188" w:line="286" w:lineRule="atLeast"/>
        <w:ind w:firstLine="708"/>
        <w:jc w:val="both"/>
        <w:textAlignment w:val="baseline"/>
        <w:rPr>
          <w:rFonts w:ascii="Times New Roman" w:hAnsi="Times New Roman" w:cs="Times New Roman"/>
          <w:color w:val="000000"/>
          <w:sz w:val="24"/>
          <w:szCs w:val="24"/>
        </w:rPr>
      </w:pPr>
      <w:r w:rsidRPr="007A6EFE">
        <w:rPr>
          <w:rFonts w:ascii="Times New Roman" w:hAnsi="Times New Roman" w:cs="Times New Roman"/>
          <w:color w:val="000000"/>
          <w:sz w:val="24"/>
          <w:szCs w:val="24"/>
        </w:rPr>
        <w:t xml:space="preserve">Порядок формирования резервов на оплату обязательств производится по каждому контрагенту (поставщику) и в целом по </w:t>
      </w:r>
      <w:r>
        <w:rPr>
          <w:rFonts w:ascii="Times New Roman" w:hAnsi="Times New Roman" w:cs="Times New Roman"/>
          <w:color w:val="000000"/>
          <w:sz w:val="24"/>
          <w:szCs w:val="24"/>
        </w:rPr>
        <w:t>У</w:t>
      </w:r>
      <w:r w:rsidRPr="007A6EFE">
        <w:rPr>
          <w:rFonts w:ascii="Times New Roman" w:hAnsi="Times New Roman" w:cs="Times New Roman"/>
          <w:color w:val="000000"/>
          <w:sz w:val="24"/>
          <w:szCs w:val="24"/>
        </w:rPr>
        <w:t xml:space="preserve">чреждению. Определяется задолженность перед контрагентом, которая не была погашена в сроки, определенные договорами. Просрочка в погашении задолженности отсчитывается не с момента возникновения, а с даты возникновения обязанности </w:t>
      </w:r>
      <w:r>
        <w:rPr>
          <w:rFonts w:ascii="Times New Roman" w:hAnsi="Times New Roman" w:cs="Times New Roman"/>
          <w:color w:val="000000"/>
          <w:sz w:val="24"/>
          <w:szCs w:val="24"/>
        </w:rPr>
        <w:t>У</w:t>
      </w:r>
      <w:r w:rsidRPr="007A6EFE">
        <w:rPr>
          <w:rFonts w:ascii="Times New Roman" w:hAnsi="Times New Roman" w:cs="Times New Roman"/>
          <w:color w:val="000000"/>
          <w:sz w:val="24"/>
          <w:szCs w:val="24"/>
        </w:rPr>
        <w:t>чреждения оплатить услугу, установленную договором. Отдельно по каждому долгу перед контрагентом определяется сумма, на которую необходимо создать резерв. Расчет суммы резерва производится на последнее число отчетного периода, за который провелась сверка взаиморасчетов, следующим образом: сумма долгов, просрочка по оплате которых составляет от 45 до 90 дней включительно</w:t>
      </w:r>
      <w:r>
        <w:rPr>
          <w:rFonts w:ascii="Times New Roman" w:hAnsi="Times New Roman" w:cs="Times New Roman"/>
          <w:color w:val="000000"/>
          <w:sz w:val="24"/>
          <w:szCs w:val="24"/>
        </w:rPr>
        <w:t>,</w:t>
      </w:r>
      <w:r w:rsidRPr="007A6EFE">
        <w:rPr>
          <w:rFonts w:ascii="Times New Roman" w:hAnsi="Times New Roman" w:cs="Times New Roman"/>
          <w:color w:val="000000"/>
          <w:sz w:val="24"/>
          <w:szCs w:val="24"/>
        </w:rPr>
        <w:t xml:space="preserve"> умножается на 50 процентов и складывается с суммой долгов, просрочка по оплате которых составляет более 90 дней. Полученный результат ежеквартально в течение года отчисляется в резерв на предстоящие расходы за услуги, предоставленные контрагентом. Для расчета используется регистр по расчету величины оценочного обязательства услуг, предоставленных контрагентами на отчетную дату.</w:t>
      </w:r>
    </w:p>
    <w:tbl>
      <w:tblPr>
        <w:tblW w:w="15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695"/>
        <w:gridCol w:w="740"/>
        <w:gridCol w:w="4577"/>
        <w:gridCol w:w="2976"/>
        <w:gridCol w:w="552"/>
        <w:gridCol w:w="2850"/>
        <w:gridCol w:w="576"/>
        <w:gridCol w:w="1560"/>
      </w:tblGrid>
      <w:tr w:rsidR="0082439E" w:rsidRPr="007A6EFE" w:rsidTr="0082439E">
        <w:trPr>
          <w:trHeight w:val="1178"/>
        </w:trPr>
        <w:tc>
          <w:tcPr>
            <w:tcW w:w="646"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 п/п</w:t>
            </w:r>
          </w:p>
        </w:tc>
        <w:tc>
          <w:tcPr>
            <w:tcW w:w="695"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КЭК</w:t>
            </w:r>
          </w:p>
          <w:p w:rsidR="0082439E" w:rsidRPr="007A6EFE" w:rsidRDefault="0082439E" w:rsidP="00051A56">
            <w:pPr>
              <w:jc w:val="center"/>
              <w:rPr>
                <w:rFonts w:ascii="Times New Roman" w:hAnsi="Times New Roman" w:cs="Times New Roman"/>
                <w:sz w:val="24"/>
                <w:szCs w:val="24"/>
              </w:rPr>
            </w:pPr>
          </w:p>
        </w:tc>
        <w:tc>
          <w:tcPr>
            <w:tcW w:w="740"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КФО</w:t>
            </w:r>
          </w:p>
        </w:tc>
        <w:tc>
          <w:tcPr>
            <w:tcW w:w="4577"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Поставщик</w:t>
            </w:r>
          </w:p>
        </w:tc>
        <w:tc>
          <w:tcPr>
            <w:tcW w:w="2976"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Сумма долгов, просрочка по оплате которых составляет от 45 до 90 дней включительно</w:t>
            </w:r>
          </w:p>
        </w:tc>
        <w:tc>
          <w:tcPr>
            <w:tcW w:w="552"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w:t>
            </w:r>
          </w:p>
        </w:tc>
        <w:tc>
          <w:tcPr>
            <w:tcW w:w="2850"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Сумма долгов, просрочка по оплате которых составляет более 90 дней</w:t>
            </w:r>
          </w:p>
        </w:tc>
        <w:tc>
          <w:tcPr>
            <w:tcW w:w="576" w:type="dxa"/>
          </w:tcPr>
          <w:p w:rsidR="0082439E" w:rsidRPr="007A6EFE" w:rsidRDefault="0082439E" w:rsidP="00051A56">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shd w:val="clear" w:color="auto" w:fill="auto"/>
          </w:tcPr>
          <w:p w:rsidR="0082439E" w:rsidRPr="007A6EFE" w:rsidRDefault="0082439E" w:rsidP="00051A56">
            <w:pPr>
              <w:jc w:val="center"/>
              <w:rPr>
                <w:rFonts w:ascii="Times New Roman" w:hAnsi="Times New Roman" w:cs="Times New Roman"/>
                <w:sz w:val="24"/>
                <w:szCs w:val="24"/>
              </w:rPr>
            </w:pPr>
            <w:r w:rsidRPr="007A6EFE">
              <w:rPr>
                <w:rFonts w:ascii="Times New Roman" w:hAnsi="Times New Roman" w:cs="Times New Roman"/>
                <w:sz w:val="24"/>
                <w:szCs w:val="24"/>
              </w:rPr>
              <w:t xml:space="preserve">Итого, рублей </w:t>
            </w:r>
          </w:p>
        </w:tc>
      </w:tr>
      <w:tr w:rsidR="0082439E" w:rsidRPr="007A6EFE" w:rsidTr="0082439E">
        <w:tc>
          <w:tcPr>
            <w:tcW w:w="646"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1</w:t>
            </w:r>
          </w:p>
        </w:tc>
        <w:tc>
          <w:tcPr>
            <w:tcW w:w="695" w:type="dxa"/>
            <w:shd w:val="clear" w:color="auto" w:fill="auto"/>
          </w:tcPr>
          <w:p w:rsidR="0082439E" w:rsidRPr="007A6EFE" w:rsidRDefault="0082439E" w:rsidP="00051A56">
            <w:pPr>
              <w:rPr>
                <w:rFonts w:ascii="Times New Roman" w:hAnsi="Times New Roman" w:cs="Times New Roman"/>
                <w:sz w:val="24"/>
                <w:szCs w:val="24"/>
              </w:rPr>
            </w:pPr>
          </w:p>
        </w:tc>
        <w:tc>
          <w:tcPr>
            <w:tcW w:w="740" w:type="dxa"/>
            <w:shd w:val="clear" w:color="auto" w:fill="auto"/>
          </w:tcPr>
          <w:p w:rsidR="0082439E" w:rsidRPr="007A6EFE" w:rsidRDefault="0082439E" w:rsidP="00051A56">
            <w:pPr>
              <w:rPr>
                <w:rFonts w:ascii="Times New Roman" w:hAnsi="Times New Roman" w:cs="Times New Roman"/>
                <w:sz w:val="24"/>
                <w:szCs w:val="24"/>
              </w:rPr>
            </w:pPr>
          </w:p>
        </w:tc>
        <w:tc>
          <w:tcPr>
            <w:tcW w:w="4577" w:type="dxa"/>
            <w:shd w:val="clear" w:color="auto" w:fill="auto"/>
          </w:tcPr>
          <w:p w:rsidR="0082439E" w:rsidRPr="007A6EFE" w:rsidRDefault="0082439E" w:rsidP="00051A56">
            <w:pPr>
              <w:rPr>
                <w:rFonts w:ascii="Times New Roman" w:hAnsi="Times New Roman" w:cs="Times New Roman"/>
                <w:sz w:val="24"/>
                <w:szCs w:val="24"/>
              </w:rPr>
            </w:pPr>
          </w:p>
        </w:tc>
        <w:tc>
          <w:tcPr>
            <w:tcW w:w="2976" w:type="dxa"/>
            <w:shd w:val="clear" w:color="auto" w:fill="auto"/>
          </w:tcPr>
          <w:p w:rsidR="0082439E" w:rsidRPr="007A6EFE" w:rsidRDefault="0082439E" w:rsidP="00051A56">
            <w:pPr>
              <w:rPr>
                <w:rFonts w:ascii="Times New Roman" w:hAnsi="Times New Roman" w:cs="Times New Roman"/>
                <w:sz w:val="24"/>
                <w:szCs w:val="24"/>
              </w:rPr>
            </w:pPr>
          </w:p>
        </w:tc>
        <w:tc>
          <w:tcPr>
            <w:tcW w:w="552"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50</w:t>
            </w:r>
          </w:p>
        </w:tc>
        <w:tc>
          <w:tcPr>
            <w:tcW w:w="2850" w:type="dxa"/>
            <w:shd w:val="clear" w:color="auto" w:fill="auto"/>
          </w:tcPr>
          <w:p w:rsidR="0082439E" w:rsidRPr="007A6EFE" w:rsidRDefault="0082439E" w:rsidP="00051A56">
            <w:pPr>
              <w:rPr>
                <w:rFonts w:ascii="Times New Roman" w:hAnsi="Times New Roman" w:cs="Times New Roman"/>
                <w:sz w:val="24"/>
                <w:szCs w:val="24"/>
              </w:rPr>
            </w:pPr>
          </w:p>
        </w:tc>
        <w:tc>
          <w:tcPr>
            <w:tcW w:w="576" w:type="dxa"/>
          </w:tcPr>
          <w:p w:rsidR="0082439E" w:rsidRPr="007A6EFE" w:rsidRDefault="0082439E" w:rsidP="00051A56">
            <w:pPr>
              <w:rPr>
                <w:rFonts w:ascii="Times New Roman" w:hAnsi="Times New Roman" w:cs="Times New Roman"/>
                <w:sz w:val="24"/>
                <w:szCs w:val="24"/>
              </w:rPr>
            </w:pPr>
            <w:r>
              <w:rPr>
                <w:rFonts w:ascii="Times New Roman" w:hAnsi="Times New Roman" w:cs="Times New Roman"/>
                <w:sz w:val="24"/>
                <w:szCs w:val="24"/>
              </w:rPr>
              <w:t>100</w:t>
            </w:r>
          </w:p>
        </w:tc>
        <w:tc>
          <w:tcPr>
            <w:tcW w:w="1560" w:type="dxa"/>
            <w:shd w:val="clear" w:color="auto" w:fill="auto"/>
          </w:tcPr>
          <w:p w:rsidR="0082439E" w:rsidRPr="007A6EFE" w:rsidRDefault="0082439E" w:rsidP="00051A56">
            <w:pPr>
              <w:rPr>
                <w:rFonts w:ascii="Times New Roman" w:hAnsi="Times New Roman" w:cs="Times New Roman"/>
                <w:sz w:val="24"/>
                <w:szCs w:val="24"/>
              </w:rPr>
            </w:pPr>
          </w:p>
        </w:tc>
      </w:tr>
      <w:tr w:rsidR="0082439E" w:rsidRPr="007A6EFE" w:rsidTr="0082439E">
        <w:tc>
          <w:tcPr>
            <w:tcW w:w="646"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2</w:t>
            </w:r>
          </w:p>
        </w:tc>
        <w:tc>
          <w:tcPr>
            <w:tcW w:w="695" w:type="dxa"/>
            <w:shd w:val="clear" w:color="auto" w:fill="auto"/>
          </w:tcPr>
          <w:p w:rsidR="0082439E" w:rsidRPr="007A6EFE" w:rsidRDefault="0082439E" w:rsidP="00051A56">
            <w:pPr>
              <w:rPr>
                <w:rFonts w:ascii="Times New Roman" w:hAnsi="Times New Roman" w:cs="Times New Roman"/>
                <w:sz w:val="24"/>
                <w:szCs w:val="24"/>
              </w:rPr>
            </w:pPr>
          </w:p>
        </w:tc>
        <w:tc>
          <w:tcPr>
            <w:tcW w:w="740" w:type="dxa"/>
            <w:shd w:val="clear" w:color="auto" w:fill="auto"/>
          </w:tcPr>
          <w:p w:rsidR="0082439E" w:rsidRPr="007A6EFE" w:rsidRDefault="0082439E" w:rsidP="00051A56">
            <w:pPr>
              <w:rPr>
                <w:rFonts w:ascii="Times New Roman" w:hAnsi="Times New Roman" w:cs="Times New Roman"/>
                <w:sz w:val="24"/>
                <w:szCs w:val="24"/>
              </w:rPr>
            </w:pPr>
          </w:p>
        </w:tc>
        <w:tc>
          <w:tcPr>
            <w:tcW w:w="4577" w:type="dxa"/>
            <w:shd w:val="clear" w:color="auto" w:fill="auto"/>
          </w:tcPr>
          <w:p w:rsidR="0082439E" w:rsidRPr="007A6EFE" w:rsidRDefault="0082439E" w:rsidP="00051A56">
            <w:pPr>
              <w:rPr>
                <w:rFonts w:ascii="Times New Roman" w:hAnsi="Times New Roman" w:cs="Times New Roman"/>
                <w:sz w:val="24"/>
                <w:szCs w:val="24"/>
              </w:rPr>
            </w:pPr>
          </w:p>
        </w:tc>
        <w:tc>
          <w:tcPr>
            <w:tcW w:w="2976" w:type="dxa"/>
            <w:shd w:val="clear" w:color="auto" w:fill="auto"/>
          </w:tcPr>
          <w:p w:rsidR="0082439E" w:rsidRPr="007A6EFE" w:rsidRDefault="0082439E" w:rsidP="00051A56">
            <w:pPr>
              <w:rPr>
                <w:rFonts w:ascii="Times New Roman" w:hAnsi="Times New Roman" w:cs="Times New Roman"/>
                <w:sz w:val="24"/>
                <w:szCs w:val="24"/>
              </w:rPr>
            </w:pPr>
          </w:p>
        </w:tc>
        <w:tc>
          <w:tcPr>
            <w:tcW w:w="552"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50</w:t>
            </w:r>
          </w:p>
        </w:tc>
        <w:tc>
          <w:tcPr>
            <w:tcW w:w="2850" w:type="dxa"/>
            <w:shd w:val="clear" w:color="auto" w:fill="auto"/>
          </w:tcPr>
          <w:p w:rsidR="0082439E" w:rsidRPr="007A6EFE" w:rsidRDefault="0082439E" w:rsidP="00051A56">
            <w:pPr>
              <w:rPr>
                <w:rFonts w:ascii="Times New Roman" w:hAnsi="Times New Roman" w:cs="Times New Roman"/>
                <w:sz w:val="24"/>
                <w:szCs w:val="24"/>
              </w:rPr>
            </w:pPr>
          </w:p>
        </w:tc>
        <w:tc>
          <w:tcPr>
            <w:tcW w:w="576" w:type="dxa"/>
          </w:tcPr>
          <w:p w:rsidR="0082439E" w:rsidRPr="007A6EFE" w:rsidRDefault="0082439E" w:rsidP="00051A56">
            <w:pPr>
              <w:rPr>
                <w:rFonts w:ascii="Times New Roman" w:hAnsi="Times New Roman" w:cs="Times New Roman"/>
                <w:sz w:val="24"/>
                <w:szCs w:val="24"/>
              </w:rPr>
            </w:pPr>
            <w:r>
              <w:rPr>
                <w:rFonts w:ascii="Times New Roman" w:hAnsi="Times New Roman" w:cs="Times New Roman"/>
                <w:sz w:val="24"/>
                <w:szCs w:val="24"/>
              </w:rPr>
              <w:t>100</w:t>
            </w:r>
          </w:p>
        </w:tc>
        <w:tc>
          <w:tcPr>
            <w:tcW w:w="1560" w:type="dxa"/>
            <w:shd w:val="clear" w:color="auto" w:fill="auto"/>
          </w:tcPr>
          <w:p w:rsidR="0082439E" w:rsidRPr="007A6EFE" w:rsidRDefault="0082439E" w:rsidP="00051A56">
            <w:pPr>
              <w:rPr>
                <w:rFonts w:ascii="Times New Roman" w:hAnsi="Times New Roman" w:cs="Times New Roman"/>
                <w:sz w:val="24"/>
                <w:szCs w:val="24"/>
              </w:rPr>
            </w:pPr>
          </w:p>
        </w:tc>
      </w:tr>
      <w:tr w:rsidR="0082439E" w:rsidRPr="007A6EFE" w:rsidTr="0082439E">
        <w:tc>
          <w:tcPr>
            <w:tcW w:w="646"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3</w:t>
            </w:r>
          </w:p>
        </w:tc>
        <w:tc>
          <w:tcPr>
            <w:tcW w:w="695" w:type="dxa"/>
            <w:shd w:val="clear" w:color="auto" w:fill="auto"/>
          </w:tcPr>
          <w:p w:rsidR="0082439E" w:rsidRPr="007A6EFE" w:rsidRDefault="0082439E" w:rsidP="00051A56">
            <w:pPr>
              <w:rPr>
                <w:rFonts w:ascii="Times New Roman" w:hAnsi="Times New Roman" w:cs="Times New Roman"/>
                <w:sz w:val="24"/>
                <w:szCs w:val="24"/>
              </w:rPr>
            </w:pPr>
          </w:p>
        </w:tc>
        <w:tc>
          <w:tcPr>
            <w:tcW w:w="740" w:type="dxa"/>
            <w:shd w:val="clear" w:color="auto" w:fill="auto"/>
          </w:tcPr>
          <w:p w:rsidR="0082439E" w:rsidRPr="007A6EFE" w:rsidRDefault="0082439E" w:rsidP="00051A56">
            <w:pPr>
              <w:rPr>
                <w:rFonts w:ascii="Times New Roman" w:hAnsi="Times New Roman" w:cs="Times New Roman"/>
                <w:sz w:val="24"/>
                <w:szCs w:val="24"/>
              </w:rPr>
            </w:pPr>
          </w:p>
        </w:tc>
        <w:tc>
          <w:tcPr>
            <w:tcW w:w="4577" w:type="dxa"/>
            <w:shd w:val="clear" w:color="auto" w:fill="auto"/>
          </w:tcPr>
          <w:p w:rsidR="0082439E" w:rsidRPr="007A6EFE" w:rsidRDefault="0082439E" w:rsidP="00051A56">
            <w:pPr>
              <w:rPr>
                <w:rFonts w:ascii="Times New Roman" w:hAnsi="Times New Roman" w:cs="Times New Roman"/>
                <w:sz w:val="24"/>
                <w:szCs w:val="24"/>
              </w:rPr>
            </w:pPr>
          </w:p>
        </w:tc>
        <w:tc>
          <w:tcPr>
            <w:tcW w:w="2976" w:type="dxa"/>
            <w:shd w:val="clear" w:color="auto" w:fill="auto"/>
          </w:tcPr>
          <w:p w:rsidR="0082439E" w:rsidRPr="007A6EFE" w:rsidRDefault="0082439E" w:rsidP="00051A56">
            <w:pPr>
              <w:rPr>
                <w:rFonts w:ascii="Times New Roman" w:hAnsi="Times New Roman" w:cs="Times New Roman"/>
                <w:sz w:val="24"/>
                <w:szCs w:val="24"/>
              </w:rPr>
            </w:pPr>
          </w:p>
        </w:tc>
        <w:tc>
          <w:tcPr>
            <w:tcW w:w="552"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50</w:t>
            </w:r>
          </w:p>
        </w:tc>
        <w:tc>
          <w:tcPr>
            <w:tcW w:w="2850" w:type="dxa"/>
            <w:shd w:val="clear" w:color="auto" w:fill="auto"/>
          </w:tcPr>
          <w:p w:rsidR="0082439E" w:rsidRPr="007A6EFE" w:rsidRDefault="0082439E" w:rsidP="00051A56">
            <w:pPr>
              <w:rPr>
                <w:rFonts w:ascii="Times New Roman" w:hAnsi="Times New Roman" w:cs="Times New Roman"/>
                <w:sz w:val="24"/>
                <w:szCs w:val="24"/>
              </w:rPr>
            </w:pPr>
          </w:p>
        </w:tc>
        <w:tc>
          <w:tcPr>
            <w:tcW w:w="576" w:type="dxa"/>
          </w:tcPr>
          <w:p w:rsidR="0082439E" w:rsidRPr="007A6EFE" w:rsidRDefault="0082439E" w:rsidP="00051A56">
            <w:pPr>
              <w:rPr>
                <w:rFonts w:ascii="Times New Roman" w:hAnsi="Times New Roman" w:cs="Times New Roman"/>
                <w:sz w:val="24"/>
                <w:szCs w:val="24"/>
              </w:rPr>
            </w:pPr>
            <w:r>
              <w:rPr>
                <w:rFonts w:ascii="Times New Roman" w:hAnsi="Times New Roman" w:cs="Times New Roman"/>
                <w:sz w:val="24"/>
                <w:szCs w:val="24"/>
              </w:rPr>
              <w:t>100</w:t>
            </w:r>
          </w:p>
        </w:tc>
        <w:tc>
          <w:tcPr>
            <w:tcW w:w="1560" w:type="dxa"/>
            <w:shd w:val="clear" w:color="auto" w:fill="auto"/>
          </w:tcPr>
          <w:p w:rsidR="0082439E" w:rsidRPr="007A6EFE" w:rsidRDefault="0082439E" w:rsidP="00051A56">
            <w:pPr>
              <w:rPr>
                <w:rFonts w:ascii="Times New Roman" w:hAnsi="Times New Roman" w:cs="Times New Roman"/>
                <w:sz w:val="24"/>
                <w:szCs w:val="24"/>
              </w:rPr>
            </w:pPr>
          </w:p>
        </w:tc>
      </w:tr>
      <w:tr w:rsidR="0082439E" w:rsidRPr="007A6EFE" w:rsidTr="0082439E">
        <w:tc>
          <w:tcPr>
            <w:tcW w:w="646" w:type="dxa"/>
            <w:shd w:val="clear" w:color="auto" w:fill="auto"/>
          </w:tcPr>
          <w:p w:rsidR="0082439E" w:rsidRPr="007A6EFE" w:rsidRDefault="0082439E" w:rsidP="00051A56">
            <w:pPr>
              <w:rPr>
                <w:rFonts w:ascii="Times New Roman" w:hAnsi="Times New Roman" w:cs="Times New Roman"/>
                <w:sz w:val="24"/>
                <w:szCs w:val="24"/>
              </w:rPr>
            </w:pPr>
            <w:r>
              <w:rPr>
                <w:rFonts w:ascii="Times New Roman" w:hAnsi="Times New Roman" w:cs="Times New Roman"/>
                <w:sz w:val="24"/>
                <w:szCs w:val="24"/>
              </w:rPr>
              <w:t>…</w:t>
            </w:r>
          </w:p>
        </w:tc>
        <w:tc>
          <w:tcPr>
            <w:tcW w:w="695" w:type="dxa"/>
            <w:shd w:val="clear" w:color="auto" w:fill="auto"/>
          </w:tcPr>
          <w:p w:rsidR="0082439E" w:rsidRPr="007A6EFE" w:rsidRDefault="0082439E" w:rsidP="00051A56">
            <w:pPr>
              <w:rPr>
                <w:rFonts w:ascii="Times New Roman" w:hAnsi="Times New Roman" w:cs="Times New Roman"/>
                <w:sz w:val="24"/>
                <w:szCs w:val="24"/>
              </w:rPr>
            </w:pPr>
          </w:p>
        </w:tc>
        <w:tc>
          <w:tcPr>
            <w:tcW w:w="740" w:type="dxa"/>
            <w:shd w:val="clear" w:color="auto" w:fill="auto"/>
          </w:tcPr>
          <w:p w:rsidR="0082439E" w:rsidRPr="007A6EFE" w:rsidRDefault="0082439E" w:rsidP="00051A56">
            <w:pPr>
              <w:rPr>
                <w:rFonts w:ascii="Times New Roman" w:hAnsi="Times New Roman" w:cs="Times New Roman"/>
                <w:sz w:val="24"/>
                <w:szCs w:val="24"/>
              </w:rPr>
            </w:pPr>
          </w:p>
        </w:tc>
        <w:tc>
          <w:tcPr>
            <w:tcW w:w="4577" w:type="dxa"/>
            <w:shd w:val="clear" w:color="auto" w:fill="auto"/>
          </w:tcPr>
          <w:p w:rsidR="0082439E" w:rsidRPr="007A6EFE" w:rsidRDefault="0082439E" w:rsidP="00051A56">
            <w:pPr>
              <w:rPr>
                <w:rFonts w:ascii="Times New Roman" w:hAnsi="Times New Roman" w:cs="Times New Roman"/>
                <w:sz w:val="24"/>
                <w:szCs w:val="24"/>
              </w:rPr>
            </w:pPr>
          </w:p>
        </w:tc>
        <w:tc>
          <w:tcPr>
            <w:tcW w:w="2976" w:type="dxa"/>
            <w:shd w:val="clear" w:color="auto" w:fill="auto"/>
          </w:tcPr>
          <w:p w:rsidR="0082439E" w:rsidRPr="007A6EFE" w:rsidRDefault="0082439E" w:rsidP="00051A56">
            <w:pPr>
              <w:rPr>
                <w:rFonts w:ascii="Times New Roman" w:hAnsi="Times New Roman" w:cs="Times New Roman"/>
                <w:sz w:val="24"/>
                <w:szCs w:val="24"/>
              </w:rPr>
            </w:pPr>
          </w:p>
        </w:tc>
        <w:tc>
          <w:tcPr>
            <w:tcW w:w="552" w:type="dxa"/>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50</w:t>
            </w:r>
          </w:p>
        </w:tc>
        <w:tc>
          <w:tcPr>
            <w:tcW w:w="2850" w:type="dxa"/>
            <w:shd w:val="clear" w:color="auto" w:fill="auto"/>
          </w:tcPr>
          <w:p w:rsidR="0082439E" w:rsidRPr="007A6EFE" w:rsidRDefault="0082439E" w:rsidP="00051A56">
            <w:pPr>
              <w:rPr>
                <w:rFonts w:ascii="Times New Roman" w:hAnsi="Times New Roman" w:cs="Times New Roman"/>
                <w:sz w:val="24"/>
                <w:szCs w:val="24"/>
              </w:rPr>
            </w:pPr>
          </w:p>
        </w:tc>
        <w:tc>
          <w:tcPr>
            <w:tcW w:w="576" w:type="dxa"/>
          </w:tcPr>
          <w:p w:rsidR="0082439E" w:rsidRPr="007A6EFE" w:rsidRDefault="0082439E" w:rsidP="00051A56">
            <w:pPr>
              <w:rPr>
                <w:rFonts w:ascii="Times New Roman" w:hAnsi="Times New Roman" w:cs="Times New Roman"/>
                <w:sz w:val="24"/>
                <w:szCs w:val="24"/>
              </w:rPr>
            </w:pPr>
            <w:r>
              <w:rPr>
                <w:rFonts w:ascii="Times New Roman" w:hAnsi="Times New Roman" w:cs="Times New Roman"/>
                <w:sz w:val="24"/>
                <w:szCs w:val="24"/>
              </w:rPr>
              <w:t>100</w:t>
            </w:r>
          </w:p>
        </w:tc>
        <w:tc>
          <w:tcPr>
            <w:tcW w:w="1560" w:type="dxa"/>
            <w:shd w:val="clear" w:color="auto" w:fill="auto"/>
          </w:tcPr>
          <w:p w:rsidR="0082439E" w:rsidRPr="007A6EFE" w:rsidRDefault="0082439E" w:rsidP="00051A56">
            <w:pPr>
              <w:rPr>
                <w:rFonts w:ascii="Times New Roman" w:hAnsi="Times New Roman" w:cs="Times New Roman"/>
                <w:sz w:val="24"/>
                <w:szCs w:val="24"/>
              </w:rPr>
            </w:pPr>
          </w:p>
        </w:tc>
      </w:tr>
      <w:tr w:rsidR="0082439E" w:rsidRPr="007A6EFE" w:rsidTr="0082439E">
        <w:tc>
          <w:tcPr>
            <w:tcW w:w="6658" w:type="dxa"/>
            <w:gridSpan w:val="4"/>
            <w:shd w:val="clear" w:color="auto" w:fill="auto"/>
          </w:tcPr>
          <w:p w:rsidR="0082439E" w:rsidRPr="007A6EFE" w:rsidRDefault="0082439E" w:rsidP="00051A56">
            <w:pPr>
              <w:rPr>
                <w:rFonts w:ascii="Times New Roman" w:hAnsi="Times New Roman" w:cs="Times New Roman"/>
                <w:sz w:val="24"/>
                <w:szCs w:val="24"/>
              </w:rPr>
            </w:pPr>
            <w:r w:rsidRPr="007A6EFE">
              <w:rPr>
                <w:rFonts w:ascii="Times New Roman" w:hAnsi="Times New Roman" w:cs="Times New Roman"/>
                <w:sz w:val="24"/>
                <w:szCs w:val="24"/>
              </w:rPr>
              <w:t>ИТОГО:</w:t>
            </w:r>
          </w:p>
        </w:tc>
        <w:tc>
          <w:tcPr>
            <w:tcW w:w="2976" w:type="dxa"/>
            <w:shd w:val="clear" w:color="auto" w:fill="auto"/>
          </w:tcPr>
          <w:p w:rsidR="0082439E" w:rsidRPr="007A6EFE" w:rsidRDefault="0082439E" w:rsidP="00051A56">
            <w:pPr>
              <w:rPr>
                <w:rFonts w:ascii="Times New Roman" w:hAnsi="Times New Roman" w:cs="Times New Roman"/>
                <w:b/>
                <w:sz w:val="24"/>
                <w:szCs w:val="24"/>
              </w:rPr>
            </w:pPr>
          </w:p>
        </w:tc>
        <w:tc>
          <w:tcPr>
            <w:tcW w:w="552" w:type="dxa"/>
            <w:shd w:val="clear" w:color="auto" w:fill="auto"/>
          </w:tcPr>
          <w:p w:rsidR="0082439E" w:rsidRPr="007A6EFE" w:rsidRDefault="0082439E" w:rsidP="00051A56">
            <w:pPr>
              <w:rPr>
                <w:rFonts w:ascii="Times New Roman" w:hAnsi="Times New Roman" w:cs="Times New Roman"/>
                <w:b/>
                <w:sz w:val="24"/>
                <w:szCs w:val="24"/>
              </w:rPr>
            </w:pPr>
          </w:p>
        </w:tc>
        <w:tc>
          <w:tcPr>
            <w:tcW w:w="2850" w:type="dxa"/>
            <w:shd w:val="clear" w:color="auto" w:fill="auto"/>
          </w:tcPr>
          <w:p w:rsidR="0082439E" w:rsidRPr="007A6EFE" w:rsidRDefault="0082439E" w:rsidP="00051A56">
            <w:pPr>
              <w:rPr>
                <w:rFonts w:ascii="Times New Roman" w:hAnsi="Times New Roman" w:cs="Times New Roman"/>
                <w:b/>
                <w:sz w:val="24"/>
                <w:szCs w:val="24"/>
              </w:rPr>
            </w:pPr>
          </w:p>
        </w:tc>
        <w:tc>
          <w:tcPr>
            <w:tcW w:w="576" w:type="dxa"/>
          </w:tcPr>
          <w:p w:rsidR="0082439E" w:rsidRPr="007A6EFE" w:rsidRDefault="0082439E" w:rsidP="00051A56">
            <w:pPr>
              <w:rPr>
                <w:rFonts w:ascii="Times New Roman" w:hAnsi="Times New Roman" w:cs="Times New Roman"/>
                <w:b/>
                <w:sz w:val="24"/>
                <w:szCs w:val="24"/>
              </w:rPr>
            </w:pPr>
          </w:p>
        </w:tc>
        <w:tc>
          <w:tcPr>
            <w:tcW w:w="1560" w:type="dxa"/>
            <w:shd w:val="clear" w:color="auto" w:fill="auto"/>
          </w:tcPr>
          <w:p w:rsidR="0082439E" w:rsidRPr="007A6EFE" w:rsidRDefault="0082439E" w:rsidP="00051A56">
            <w:pPr>
              <w:rPr>
                <w:rFonts w:ascii="Times New Roman" w:hAnsi="Times New Roman" w:cs="Times New Roman"/>
                <w:b/>
                <w:sz w:val="24"/>
                <w:szCs w:val="24"/>
              </w:rPr>
            </w:pPr>
          </w:p>
        </w:tc>
      </w:tr>
    </w:tbl>
    <w:p w:rsidR="00803CBD" w:rsidRDefault="00803CBD" w:rsidP="007A6EFE">
      <w:pPr>
        <w:shd w:val="clear" w:color="auto" w:fill="FFFFFF"/>
        <w:spacing w:after="188" w:line="286" w:lineRule="atLeast"/>
        <w:textAlignment w:val="baseline"/>
        <w:rPr>
          <w:rFonts w:ascii="Times New Roman" w:hAnsi="Times New Roman" w:cs="Times New Roman"/>
          <w:color w:val="333333"/>
          <w:sz w:val="24"/>
          <w:szCs w:val="24"/>
        </w:rPr>
      </w:pPr>
    </w:p>
    <w:p w:rsidR="007A6EFE" w:rsidRPr="007A6EFE" w:rsidRDefault="007A6EFE" w:rsidP="007A6EFE">
      <w:pPr>
        <w:shd w:val="clear" w:color="auto" w:fill="FFFFFF"/>
        <w:spacing w:after="188" w:line="286" w:lineRule="atLeast"/>
        <w:textAlignment w:val="baseline"/>
        <w:rPr>
          <w:rFonts w:ascii="Times New Roman" w:hAnsi="Times New Roman" w:cs="Times New Roman"/>
          <w:color w:val="333333"/>
          <w:sz w:val="24"/>
          <w:szCs w:val="24"/>
        </w:rPr>
      </w:pPr>
      <w:r w:rsidRPr="007A6EFE">
        <w:rPr>
          <w:rFonts w:ascii="Times New Roman" w:hAnsi="Times New Roman" w:cs="Times New Roman"/>
          <w:color w:val="333333"/>
          <w:sz w:val="24"/>
          <w:szCs w:val="24"/>
        </w:rPr>
        <w:t>Исполнитель: _________________ / _____________________</w:t>
      </w:r>
    </w:p>
    <w:p w:rsidR="00F72B12" w:rsidRPr="007A6EFE" w:rsidRDefault="007A6EFE" w:rsidP="00803CBD">
      <w:pPr>
        <w:spacing w:line="240" w:lineRule="auto"/>
        <w:contextualSpacing/>
        <w:rPr>
          <w:rFonts w:ascii="Times New Roman" w:hAnsi="Times New Roman" w:cs="Times New Roman"/>
          <w:sz w:val="24"/>
          <w:szCs w:val="24"/>
        </w:rPr>
      </w:pPr>
      <w:r w:rsidRPr="007A6EFE">
        <w:rPr>
          <w:rFonts w:ascii="Times New Roman" w:hAnsi="Times New Roman" w:cs="Times New Roman"/>
          <w:color w:val="333333"/>
          <w:sz w:val="24"/>
          <w:szCs w:val="24"/>
        </w:rPr>
        <w:t>Главный бухгалтер __________________ / __________________</w:t>
      </w:r>
    </w:p>
    <w:sectPr w:rsidR="00F72B12" w:rsidRPr="007A6EFE" w:rsidSect="00803CBD">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A"/>
    <w:rsid w:val="00025804"/>
    <w:rsid w:val="000B4B03"/>
    <w:rsid w:val="00120BD4"/>
    <w:rsid w:val="007A6EFE"/>
    <w:rsid w:val="00803CBD"/>
    <w:rsid w:val="0082439E"/>
    <w:rsid w:val="00D045CA"/>
    <w:rsid w:val="00F7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ACBE-EE57-442A-9217-BFD160E0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6</cp:revision>
  <dcterms:created xsi:type="dcterms:W3CDTF">2020-08-25T09:31:00Z</dcterms:created>
  <dcterms:modified xsi:type="dcterms:W3CDTF">2022-01-11T09:28:00Z</dcterms:modified>
</cp:coreProperties>
</file>