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9E" w:rsidRPr="00C76636" w:rsidRDefault="0051779E" w:rsidP="0051779E">
      <w:pPr>
        <w:pStyle w:val="2"/>
        <w:jc w:val="right"/>
        <w:rPr>
          <w:rFonts w:eastAsia="Times New Roman"/>
          <w:b w:val="0"/>
          <w:sz w:val="24"/>
          <w:szCs w:val="24"/>
        </w:rPr>
      </w:pPr>
      <w:r w:rsidRPr="00C76636">
        <w:rPr>
          <w:rFonts w:eastAsia="Times New Roman"/>
          <w:b w:val="0"/>
          <w:sz w:val="24"/>
          <w:szCs w:val="24"/>
        </w:rPr>
        <w:t>Приложение № 2</w:t>
      </w:r>
      <w:r w:rsidR="00EB48E4">
        <w:rPr>
          <w:rFonts w:eastAsia="Times New Roman"/>
          <w:b w:val="0"/>
          <w:sz w:val="24"/>
          <w:szCs w:val="24"/>
        </w:rPr>
        <w:t>3</w:t>
      </w:r>
    </w:p>
    <w:p w:rsidR="0051779E" w:rsidRPr="00C76636" w:rsidRDefault="0051779E" w:rsidP="0051779E">
      <w:pPr>
        <w:pStyle w:val="2"/>
        <w:jc w:val="right"/>
        <w:rPr>
          <w:rFonts w:eastAsia="Times New Roman"/>
          <w:b w:val="0"/>
          <w:sz w:val="24"/>
          <w:szCs w:val="24"/>
        </w:rPr>
      </w:pPr>
      <w:r w:rsidRPr="00C76636">
        <w:rPr>
          <w:rFonts w:eastAsia="Times New Roman"/>
          <w:b w:val="0"/>
          <w:sz w:val="24"/>
          <w:szCs w:val="24"/>
        </w:rPr>
        <w:t>к учетной политике</w:t>
      </w:r>
    </w:p>
    <w:p w:rsidR="00A862AB" w:rsidRPr="009A4370" w:rsidRDefault="00A862AB" w:rsidP="00A862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A4370">
        <w:rPr>
          <w:rFonts w:ascii="Times New Roman" w:hAnsi="Times New Roman" w:cs="Times New Roman"/>
          <w:b/>
          <w:sz w:val="24"/>
          <w:szCs w:val="24"/>
        </w:rPr>
        <w:t>орядок проведения инвентаризации активов и обязательств</w:t>
      </w:r>
    </w:p>
    <w:p w:rsidR="00A862AB" w:rsidRPr="009A4370" w:rsidRDefault="00A862AB" w:rsidP="00A862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62AB" w:rsidRPr="009A4370" w:rsidRDefault="00A862AB" w:rsidP="00A862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862AB" w:rsidRPr="009A4370" w:rsidRDefault="00A862AB" w:rsidP="00A862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62AB" w:rsidRPr="009A4370" w:rsidRDefault="00A862AB" w:rsidP="00A86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r w:rsidRPr="006332CE">
        <w:rPr>
          <w:rFonts w:ascii="Times New Roman" w:hAnsi="Times New Roman" w:cs="Times New Roman"/>
          <w:sz w:val="24"/>
          <w:szCs w:val="24"/>
        </w:rPr>
        <w:t xml:space="preserve">проведения инвентаризации активов и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Pr="009A4370">
        <w:rPr>
          <w:rFonts w:ascii="Times New Roman" w:hAnsi="Times New Roman" w:cs="Times New Roman"/>
          <w:sz w:val="24"/>
          <w:szCs w:val="24"/>
        </w:rPr>
        <w:t>устанавливает:</w:t>
      </w:r>
    </w:p>
    <w:p w:rsidR="00A862AB" w:rsidRPr="009A4370" w:rsidRDefault="00A862AB" w:rsidP="00A86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 порядок проведения инвентаризации активов и обязательств в целях составления годовой бухгалтерской (финансовой) отчетности, а также в случаях, когда проведение инвентаризации обязательно. Обязательное проведение инвентаризации устанавливается законодательством Российской Федерации, федеральными и отраслевыми стандартами;</w:t>
      </w:r>
    </w:p>
    <w:p w:rsidR="00A862AB" w:rsidRPr="009A4370" w:rsidRDefault="00A862AB" w:rsidP="00A86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 порядок проведения инвентаризации активов при первом применении стандарта «Основные средства» (Приказ Минфина России от 31.12.2016 N 257н "Об утверждении федерального стандарта бухгалтерского учета для организаций государствен</w:t>
      </w:r>
      <w:bookmarkStart w:id="0" w:name="_GoBack"/>
      <w:bookmarkEnd w:id="0"/>
      <w:r w:rsidRPr="009A4370">
        <w:rPr>
          <w:rFonts w:ascii="Times New Roman" w:hAnsi="Times New Roman" w:cs="Times New Roman"/>
          <w:sz w:val="24"/>
          <w:szCs w:val="24"/>
        </w:rPr>
        <w:t xml:space="preserve">ного сектора "Основные средства"); </w:t>
      </w:r>
    </w:p>
    <w:p w:rsidR="00A862AB" w:rsidRPr="009A4370" w:rsidRDefault="00A862AB" w:rsidP="00A86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 порядок проведения инвентаризации активов и обязатель</w:t>
      </w:r>
      <w:proofErr w:type="gramStart"/>
      <w:r w:rsidRPr="009A437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A4370">
        <w:rPr>
          <w:rFonts w:ascii="Times New Roman" w:hAnsi="Times New Roman" w:cs="Times New Roman"/>
          <w:sz w:val="24"/>
          <w:szCs w:val="24"/>
        </w:rPr>
        <w:t>и первом применении стандарта «Аренда» (Приказ Минфина России от 31.12.2016 N 258н "Об утверждении федерального стандарта бухгалтерского учета для организаций государственного сектора "Аренда").</w:t>
      </w:r>
    </w:p>
    <w:p w:rsidR="00A862AB" w:rsidRPr="009A4370" w:rsidRDefault="00A862AB" w:rsidP="00A86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1.2. Для целей настоящего Порядка:</w:t>
      </w:r>
    </w:p>
    <w:p w:rsidR="00A862AB" w:rsidRPr="009A4370" w:rsidRDefault="00A862AB" w:rsidP="00095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-активом признается имущество, включая наличные и безналичные денежные средства, принадлежащее субъекту учета и (или) находящееся в его пользовании, контролируемое им в результате произошедших фактов хозяйственной жизни, от которого ожидается поступление полезного потенциала или экономических выгод;</w:t>
      </w:r>
    </w:p>
    <w:p w:rsidR="00A862AB" w:rsidRPr="009A4370" w:rsidRDefault="00A862AB" w:rsidP="00095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-обязательством признается задолженность, возникшая в результате произошедших фактов хозяйственной жизни, погашение которой приведет к выбытию активов, заключающих в себе полезный потенциал или экономические выгоды.</w:t>
      </w:r>
    </w:p>
    <w:p w:rsidR="00A862AB" w:rsidRPr="009A4370" w:rsidRDefault="00A862AB" w:rsidP="00095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1.3. Инвентаризации подлежат активы учреждения независимо от его местонахождения, в том числе, находящиеся на ответственном хранении, в аренде, в безвозмездном пользовании, полученные для переработки.</w:t>
      </w:r>
    </w:p>
    <w:p w:rsidR="00A862AB" w:rsidRPr="009A4370" w:rsidRDefault="00A862AB" w:rsidP="00095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Инвентаризация активов производится по ответственному</w:t>
      </w:r>
      <w:proofErr w:type="gramStart"/>
      <w:r w:rsidRPr="009A4370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9A4370">
        <w:rPr>
          <w:rFonts w:ascii="Times New Roman" w:hAnsi="Times New Roman" w:cs="Times New Roman"/>
          <w:sz w:val="24"/>
          <w:szCs w:val="24"/>
        </w:rPr>
        <w:t>ым) (материально-ответственному (-ым)) лицам с указанием:</w:t>
      </w:r>
    </w:p>
    <w:p w:rsidR="00A862AB" w:rsidRPr="009A4370" w:rsidRDefault="00A862AB" w:rsidP="00095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-места проведения инвентаризации,</w:t>
      </w:r>
    </w:p>
    <w:p w:rsidR="00A862AB" w:rsidRPr="009A4370" w:rsidRDefault="00A862AB" w:rsidP="00095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-лица (лиц) ответственных за сохранность имущества, в том числе лица (лиц) с полной материальной ответственностью (далее ответственное</w:t>
      </w:r>
      <w:proofErr w:type="gramStart"/>
      <w:r w:rsidRPr="009A437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9A437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A4370">
        <w:rPr>
          <w:rFonts w:ascii="Times New Roman" w:hAnsi="Times New Roman" w:cs="Times New Roman"/>
          <w:sz w:val="24"/>
          <w:szCs w:val="24"/>
        </w:rPr>
        <w:t>) лицо (-а)).</w:t>
      </w:r>
    </w:p>
    <w:p w:rsidR="00A862AB" w:rsidRPr="009A4370" w:rsidRDefault="00A862AB" w:rsidP="00095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1.4. Основными целями инвентаризации являются: </w:t>
      </w:r>
    </w:p>
    <w:p w:rsidR="00A862AB" w:rsidRPr="009A4370" w:rsidRDefault="00A862AB" w:rsidP="00095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 xml:space="preserve">- выявление фактического наличия имущества; сопоставление фактического наличия имущества с данными бухгалтерского учета; </w:t>
      </w:r>
    </w:p>
    <w:p w:rsidR="00A862AB" w:rsidRPr="009A4370" w:rsidRDefault="00A862AB" w:rsidP="00095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 выявление активов, не соответствующих условиям признания актива, в том числе активов предназначенных для отчуждения не в пользу государственного сектора;</w:t>
      </w:r>
    </w:p>
    <w:p w:rsidR="00A862AB" w:rsidRPr="009A4370" w:rsidRDefault="00A862AB" w:rsidP="00095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lastRenderedPageBreak/>
        <w:t>-выявление изменений конструктивных составных частей имущественного комплекса, произведенных пользователем (арендатором) имущества за время его использования, в том числе неотделимых улучшений при передаче (возврате) комплекса объектов учета (имущественного комплекса) в аренду, управление, безвозмездное пользование, хранение, а также при выкупе, продаже комплекса объектов учета (имущественного комплекса);</w:t>
      </w:r>
    </w:p>
    <w:p w:rsidR="00A862AB" w:rsidRPr="009A4370" w:rsidRDefault="00A862AB" w:rsidP="00095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AB" w:rsidRPr="009A4370" w:rsidRDefault="00A862AB" w:rsidP="00095D25">
      <w:pPr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>- выявление объектов, созданных в рамках проведения ремонтных работ, соответствующих критериям признания объектов основных средств;</w:t>
      </w:r>
    </w:p>
    <w:p w:rsidR="00A862AB" w:rsidRPr="009A4370" w:rsidRDefault="00A862AB" w:rsidP="00095D2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A4370">
        <w:rPr>
          <w:rFonts w:ascii="Times New Roman" w:hAnsi="Times New Roman" w:cs="Times New Roman"/>
          <w:sz w:val="24"/>
          <w:szCs w:val="24"/>
        </w:rPr>
        <w:t>- проверка полноты отражения в учете обязательств; выявление обязательств, не соответствующих критериям признания обязательств.</w:t>
      </w:r>
    </w:p>
    <w:p w:rsidR="00A862AB" w:rsidRPr="009A4370" w:rsidRDefault="00A862AB" w:rsidP="00095D2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2AB" w:rsidRPr="009A4370" w:rsidRDefault="00A862AB" w:rsidP="00A862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 xml:space="preserve">2. Порядок проведения инвентаризации активов и обязательств </w:t>
      </w:r>
    </w:p>
    <w:p w:rsidR="00A862AB" w:rsidRPr="009A4370" w:rsidRDefault="00A862AB" w:rsidP="00A862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>в целях составления годовой бухгалтерской (финансовой) отчетности,</w:t>
      </w:r>
    </w:p>
    <w:p w:rsidR="00A862AB" w:rsidRPr="009A4370" w:rsidRDefault="00A862AB" w:rsidP="00A862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 xml:space="preserve"> а также в случаях, когда проведение инвентаризации обязательно.</w:t>
      </w:r>
    </w:p>
    <w:p w:rsidR="00A862AB" w:rsidRPr="009A4370" w:rsidRDefault="00A862AB" w:rsidP="00A862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62AB" w:rsidRPr="009A4370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>2.1. Для проведения инвентаризации в учреждении создается постоянно действующая инвентаризационная комиссия.</w:t>
      </w:r>
    </w:p>
    <w:p w:rsidR="00A862AB" w:rsidRPr="009A4370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>При большом объеме работ для одновременного проведения инвентаризации активов и обязательств создаются рабочие инвентаризационные комиссии.</w:t>
      </w:r>
    </w:p>
    <w:p w:rsidR="00A862AB" w:rsidRPr="009A4370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>Персональный состав постоянно действующих и рабочих инвентаризационных комиссий утверждается Приказом руководителя учреждения.</w:t>
      </w:r>
    </w:p>
    <w:p w:rsidR="00A862AB" w:rsidRPr="009A4370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>В состав инвентаризационной комиссии включаются представители администрации учреждения, другие специалисты (инженеры, экономисты</w:t>
      </w:r>
      <w:r w:rsidR="00656910">
        <w:rPr>
          <w:rFonts w:ascii="Times New Roman" w:hAnsi="Times New Roman" w:cs="Times New Roman"/>
        </w:rPr>
        <w:t xml:space="preserve">, ветеринарные специалисты </w:t>
      </w:r>
      <w:r w:rsidRPr="009A4370">
        <w:rPr>
          <w:rFonts w:ascii="Times New Roman" w:hAnsi="Times New Roman" w:cs="Times New Roman"/>
        </w:rPr>
        <w:t xml:space="preserve"> и т.д.).</w:t>
      </w:r>
    </w:p>
    <w:p w:rsidR="00A862AB" w:rsidRPr="009A4370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A4370">
        <w:rPr>
          <w:rFonts w:ascii="Times New Roman" w:hAnsi="Times New Roman" w:cs="Times New Roman"/>
        </w:rPr>
        <w:t xml:space="preserve">В случае проведения инвентаризации при передаче (возврате) комплекса объектов учета (имущественного комплекса) в аренду, управление, безвозмездное пользование, хранение, а также при выкупе, продаже комплекса объектов учета (имущественного комплекса) инвентаризация осуществляется комиссией стороны, принимающей имущество, с участием представителей стороны передающей. </w:t>
      </w:r>
      <w:proofErr w:type="gramEnd"/>
    </w:p>
    <w:p w:rsidR="00A862AB" w:rsidRPr="009A4370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>В состав инвентаризационной комиссии допускается включать представителей независимых аудиторских организаций</w:t>
      </w:r>
      <w:r w:rsidR="00656910">
        <w:rPr>
          <w:rFonts w:ascii="Times New Roman" w:hAnsi="Times New Roman" w:cs="Times New Roman"/>
        </w:rPr>
        <w:t>, специалистов Ветслужбы-Югры</w:t>
      </w:r>
      <w:r w:rsidRPr="009A4370">
        <w:rPr>
          <w:rFonts w:ascii="Times New Roman" w:hAnsi="Times New Roman" w:cs="Times New Roman"/>
        </w:rPr>
        <w:t>.</w:t>
      </w:r>
    </w:p>
    <w:p w:rsidR="00A862AB" w:rsidRPr="009A4370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 xml:space="preserve">Отсутствие хотя бы одного члена комиссии при проведении инвентаризации служит основанием для признания результатов инвентаризации </w:t>
      </w:r>
      <w:proofErr w:type="gramStart"/>
      <w:r w:rsidRPr="009A4370">
        <w:rPr>
          <w:rFonts w:ascii="Times New Roman" w:hAnsi="Times New Roman" w:cs="Times New Roman"/>
        </w:rPr>
        <w:t>недействительными</w:t>
      </w:r>
      <w:proofErr w:type="gramEnd"/>
      <w:r w:rsidRPr="009A4370">
        <w:rPr>
          <w:rFonts w:ascii="Times New Roman" w:hAnsi="Times New Roman" w:cs="Times New Roman"/>
        </w:rPr>
        <w:t>.</w:t>
      </w:r>
    </w:p>
    <w:p w:rsidR="00A862AB" w:rsidRPr="009A4370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862AB" w:rsidRPr="00656910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>2.2.</w:t>
      </w:r>
      <w:r w:rsidR="00B552F4" w:rsidRPr="00B552F4">
        <w:rPr>
          <w:rFonts w:ascii="Times New Roman" w:hAnsi="Times New Roman" w:cs="Times New Roman"/>
        </w:rPr>
        <w:t xml:space="preserve"> </w:t>
      </w:r>
      <w:r w:rsidR="00B552F4" w:rsidRPr="0051779E">
        <w:rPr>
          <w:rFonts w:ascii="Times New Roman" w:hAnsi="Times New Roman" w:cs="Times New Roman"/>
        </w:rPr>
        <w:t>Фактическая дата проведения инвентаризации может быть обусловлена возможностью выезда членов комиссии в труднодоступные районы, но не ранее, чем за 3 месяца до сдачи годовой отчетности и не позднее 31 декабря текущего года</w:t>
      </w:r>
      <w:r w:rsidR="00B552F4">
        <w:rPr>
          <w:rFonts w:ascii="Times New Roman" w:hAnsi="Times New Roman" w:cs="Times New Roman"/>
        </w:rPr>
        <w:t xml:space="preserve">. </w:t>
      </w:r>
      <w:r w:rsidR="00656910">
        <w:rPr>
          <w:rFonts w:ascii="Times New Roman" w:hAnsi="Times New Roman" w:cs="Times New Roman"/>
        </w:rPr>
        <w:t xml:space="preserve">Дата проведения инвентаризации в отчетном году, </w:t>
      </w:r>
      <w:r w:rsidRPr="009A4370">
        <w:rPr>
          <w:rFonts w:ascii="Times New Roman" w:hAnsi="Times New Roman" w:cs="Times New Roman"/>
        </w:rPr>
        <w:t xml:space="preserve">перечень активов и обязательств, </w:t>
      </w:r>
      <w:r>
        <w:rPr>
          <w:rFonts w:ascii="Times New Roman" w:hAnsi="Times New Roman" w:cs="Times New Roman"/>
        </w:rPr>
        <w:t>инвентаризируемых</w:t>
      </w:r>
      <w:r w:rsidRPr="009A4370">
        <w:rPr>
          <w:rFonts w:ascii="Times New Roman" w:hAnsi="Times New Roman" w:cs="Times New Roman"/>
        </w:rPr>
        <w:t xml:space="preserve"> при каждой из них, цели инвентаризации</w:t>
      </w:r>
      <w:r w:rsidR="00B552F4">
        <w:rPr>
          <w:rFonts w:ascii="Times New Roman" w:hAnsi="Times New Roman" w:cs="Times New Roman"/>
        </w:rPr>
        <w:t>, п</w:t>
      </w:r>
      <w:r w:rsidR="00B552F4" w:rsidRPr="009A4370">
        <w:rPr>
          <w:rFonts w:ascii="Times New Roman" w:hAnsi="Times New Roman" w:cs="Times New Roman"/>
        </w:rPr>
        <w:t xml:space="preserve">орядок действий </w:t>
      </w:r>
      <w:r w:rsidR="00B552F4">
        <w:rPr>
          <w:rFonts w:ascii="Times New Roman" w:hAnsi="Times New Roman" w:cs="Times New Roman"/>
        </w:rPr>
        <w:t xml:space="preserve">и состав </w:t>
      </w:r>
      <w:r w:rsidR="00B552F4" w:rsidRPr="009A4370">
        <w:rPr>
          <w:rFonts w:ascii="Times New Roman" w:hAnsi="Times New Roman" w:cs="Times New Roman"/>
        </w:rPr>
        <w:t>инвентаризационной комиссии в зависимости от целей инвентаризации</w:t>
      </w:r>
      <w:r w:rsidR="00B552F4">
        <w:rPr>
          <w:rFonts w:ascii="Times New Roman" w:hAnsi="Times New Roman" w:cs="Times New Roman"/>
        </w:rPr>
        <w:t>,</w:t>
      </w:r>
      <w:r w:rsidR="00B552F4" w:rsidRPr="009A4370">
        <w:rPr>
          <w:rFonts w:ascii="Times New Roman" w:hAnsi="Times New Roman" w:cs="Times New Roman"/>
        </w:rPr>
        <w:t xml:space="preserve"> </w:t>
      </w:r>
      <w:r w:rsidR="00B552F4">
        <w:rPr>
          <w:rFonts w:ascii="Times New Roman" w:hAnsi="Times New Roman" w:cs="Times New Roman"/>
        </w:rPr>
        <w:t>устанавливается п</w:t>
      </w:r>
      <w:r w:rsidRPr="009A4370">
        <w:rPr>
          <w:rFonts w:ascii="Times New Roman" w:hAnsi="Times New Roman" w:cs="Times New Roman"/>
        </w:rPr>
        <w:t>риказом руководителя учреждения</w:t>
      </w:r>
      <w:r w:rsidR="008773F0">
        <w:rPr>
          <w:rFonts w:ascii="Times New Roman" w:hAnsi="Times New Roman" w:cs="Times New Roman"/>
        </w:rPr>
        <w:t>,</w:t>
      </w:r>
      <w:r w:rsidRPr="009A4370">
        <w:rPr>
          <w:rFonts w:ascii="Times New Roman" w:hAnsi="Times New Roman" w:cs="Times New Roman"/>
        </w:rPr>
        <w:t xml:space="preserve"> кроме случаев, предусмотренных в </w:t>
      </w:r>
      <w:hyperlink r:id="rId6" w:history="1">
        <w:r w:rsidRPr="00656910">
          <w:rPr>
            <w:rFonts w:ascii="Times New Roman" w:hAnsi="Times New Roman" w:cs="Times New Roman"/>
          </w:rPr>
          <w:t>пункте 2.3</w:t>
        </w:r>
      </w:hyperlink>
      <w:r w:rsidRPr="00656910">
        <w:rPr>
          <w:rFonts w:ascii="Times New Roman" w:hAnsi="Times New Roman" w:cs="Times New Roman"/>
        </w:rPr>
        <w:t xml:space="preserve"> данного Раздела.</w:t>
      </w:r>
    </w:p>
    <w:p w:rsidR="00A862AB" w:rsidRPr="00656910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56910">
        <w:rPr>
          <w:rFonts w:ascii="Times New Roman" w:hAnsi="Times New Roman" w:cs="Times New Roman"/>
        </w:rPr>
        <w:t xml:space="preserve">                       </w:t>
      </w:r>
    </w:p>
    <w:p w:rsidR="00A862AB" w:rsidRPr="009A4370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>2.3.В целях составления годовой бухгалтерской (финансовой) отчетности инвентаризация проводится по состоянию:</w:t>
      </w:r>
    </w:p>
    <w:p w:rsidR="00A862AB" w:rsidRPr="009A4370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 xml:space="preserve">- основные средства, нематериальные активы - один раз в год по </w:t>
      </w:r>
      <w:r w:rsidR="00E34E31">
        <w:rPr>
          <w:rFonts w:ascii="Times New Roman" w:hAnsi="Times New Roman" w:cs="Times New Roman"/>
        </w:rPr>
        <w:t>состоянию н</w:t>
      </w:r>
      <w:r w:rsidRPr="009A4370">
        <w:rPr>
          <w:rFonts w:ascii="Times New Roman" w:hAnsi="Times New Roman" w:cs="Times New Roman"/>
        </w:rPr>
        <w:t xml:space="preserve">а </w:t>
      </w:r>
      <w:r w:rsidR="00E34E31">
        <w:rPr>
          <w:rFonts w:ascii="Times New Roman" w:hAnsi="Times New Roman" w:cs="Times New Roman"/>
        </w:rPr>
        <w:t>1</w:t>
      </w:r>
      <w:r w:rsidRPr="009A4370">
        <w:rPr>
          <w:rFonts w:ascii="Times New Roman" w:hAnsi="Times New Roman" w:cs="Times New Roman"/>
        </w:rPr>
        <w:t xml:space="preserve"> число</w:t>
      </w:r>
      <w:r w:rsidR="00D4658C">
        <w:rPr>
          <w:rFonts w:ascii="Times New Roman" w:hAnsi="Times New Roman" w:cs="Times New Roman"/>
        </w:rPr>
        <w:t xml:space="preserve"> месяца, в котором проводится инвентаризация, но</w:t>
      </w:r>
      <w:r w:rsidR="00D4658C" w:rsidRPr="009A4370">
        <w:rPr>
          <w:rFonts w:ascii="Times New Roman" w:hAnsi="Times New Roman" w:cs="Times New Roman"/>
        </w:rPr>
        <w:t xml:space="preserve"> н</w:t>
      </w:r>
      <w:r w:rsidR="00D4658C">
        <w:rPr>
          <w:rFonts w:ascii="Times New Roman" w:hAnsi="Times New Roman" w:cs="Times New Roman"/>
        </w:rPr>
        <w:t>е ранее 1 октября отчетного года</w:t>
      </w:r>
      <w:r w:rsidRPr="009A4370">
        <w:rPr>
          <w:rFonts w:ascii="Times New Roman" w:hAnsi="Times New Roman" w:cs="Times New Roman"/>
        </w:rPr>
        <w:t>;</w:t>
      </w:r>
    </w:p>
    <w:p w:rsidR="00A862AB" w:rsidRPr="009A4370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 xml:space="preserve">- незавершенное капитальное строительство и иные вложения во </w:t>
      </w:r>
      <w:proofErr w:type="spellStart"/>
      <w:r w:rsidRPr="009A4370">
        <w:rPr>
          <w:rFonts w:ascii="Times New Roman" w:hAnsi="Times New Roman" w:cs="Times New Roman"/>
        </w:rPr>
        <w:t>внеоборотные</w:t>
      </w:r>
      <w:proofErr w:type="spellEnd"/>
      <w:r w:rsidRPr="009A4370">
        <w:rPr>
          <w:rFonts w:ascii="Times New Roman" w:hAnsi="Times New Roman" w:cs="Times New Roman"/>
        </w:rPr>
        <w:t xml:space="preserve"> активы </w:t>
      </w:r>
      <w:r w:rsidR="00E34E31">
        <w:rPr>
          <w:rFonts w:ascii="Times New Roman" w:hAnsi="Times New Roman" w:cs="Times New Roman"/>
        </w:rPr>
        <w:t>–</w:t>
      </w:r>
      <w:r w:rsidRPr="009A4370">
        <w:rPr>
          <w:rFonts w:ascii="Times New Roman" w:hAnsi="Times New Roman" w:cs="Times New Roman"/>
        </w:rPr>
        <w:t xml:space="preserve"> </w:t>
      </w:r>
      <w:r w:rsidR="00E34E31">
        <w:rPr>
          <w:rFonts w:ascii="Times New Roman" w:hAnsi="Times New Roman" w:cs="Times New Roman"/>
        </w:rPr>
        <w:t xml:space="preserve">один </w:t>
      </w:r>
      <w:r w:rsidRPr="009A4370">
        <w:rPr>
          <w:rFonts w:ascii="Times New Roman" w:hAnsi="Times New Roman" w:cs="Times New Roman"/>
        </w:rPr>
        <w:t xml:space="preserve"> раз </w:t>
      </w:r>
      <w:proofErr w:type="gramStart"/>
      <w:r w:rsidRPr="009A4370">
        <w:rPr>
          <w:rFonts w:ascii="Times New Roman" w:hAnsi="Times New Roman" w:cs="Times New Roman"/>
        </w:rPr>
        <w:t>в</w:t>
      </w:r>
      <w:proofErr w:type="gramEnd"/>
      <w:r w:rsidRPr="009A4370">
        <w:rPr>
          <w:rFonts w:ascii="Times New Roman" w:hAnsi="Times New Roman" w:cs="Times New Roman"/>
        </w:rPr>
        <w:t xml:space="preserve"> </w:t>
      </w:r>
      <w:proofErr w:type="gramStart"/>
      <w:r w:rsidRPr="009A4370">
        <w:rPr>
          <w:rFonts w:ascii="Times New Roman" w:hAnsi="Times New Roman" w:cs="Times New Roman"/>
        </w:rPr>
        <w:t>года</w:t>
      </w:r>
      <w:proofErr w:type="gramEnd"/>
      <w:r w:rsidRPr="009A4370">
        <w:rPr>
          <w:rFonts w:ascii="Times New Roman" w:hAnsi="Times New Roman" w:cs="Times New Roman"/>
        </w:rPr>
        <w:t xml:space="preserve"> по состоянию на </w:t>
      </w:r>
      <w:r w:rsidR="00E34E31">
        <w:rPr>
          <w:rFonts w:ascii="Times New Roman" w:hAnsi="Times New Roman" w:cs="Times New Roman"/>
        </w:rPr>
        <w:t>1</w:t>
      </w:r>
      <w:r w:rsidRPr="009A4370">
        <w:rPr>
          <w:rFonts w:ascii="Times New Roman" w:hAnsi="Times New Roman" w:cs="Times New Roman"/>
        </w:rPr>
        <w:t xml:space="preserve"> число;</w:t>
      </w:r>
    </w:p>
    <w:p w:rsidR="00A862AB" w:rsidRPr="009A4370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lastRenderedPageBreak/>
        <w:t>- непроизведенные активы - один раз в</w:t>
      </w:r>
      <w:r w:rsidR="00E34E31">
        <w:rPr>
          <w:rFonts w:ascii="Times New Roman" w:hAnsi="Times New Roman" w:cs="Times New Roman"/>
        </w:rPr>
        <w:t xml:space="preserve"> год</w:t>
      </w:r>
      <w:r w:rsidRPr="009A4370">
        <w:rPr>
          <w:rFonts w:ascii="Times New Roman" w:hAnsi="Times New Roman" w:cs="Times New Roman"/>
        </w:rPr>
        <w:t xml:space="preserve"> по состоянию на </w:t>
      </w:r>
      <w:r w:rsidR="00E34E31">
        <w:rPr>
          <w:rFonts w:ascii="Times New Roman" w:hAnsi="Times New Roman" w:cs="Times New Roman"/>
        </w:rPr>
        <w:t xml:space="preserve">1 </w:t>
      </w:r>
      <w:r w:rsidRPr="009A4370">
        <w:rPr>
          <w:rFonts w:ascii="Times New Roman" w:hAnsi="Times New Roman" w:cs="Times New Roman"/>
        </w:rPr>
        <w:t>число;</w:t>
      </w:r>
    </w:p>
    <w:p w:rsidR="00A862AB" w:rsidRPr="009A4370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 xml:space="preserve">- производственные запасы </w:t>
      </w:r>
      <w:r w:rsidR="00E34E31">
        <w:rPr>
          <w:rFonts w:ascii="Times New Roman" w:hAnsi="Times New Roman" w:cs="Times New Roman"/>
        </w:rPr>
        <w:t>–</w:t>
      </w:r>
      <w:r w:rsidRPr="009A4370">
        <w:rPr>
          <w:rFonts w:ascii="Times New Roman" w:hAnsi="Times New Roman" w:cs="Times New Roman"/>
        </w:rPr>
        <w:t xml:space="preserve"> </w:t>
      </w:r>
      <w:r w:rsidR="00E34E31">
        <w:rPr>
          <w:rFonts w:ascii="Times New Roman" w:hAnsi="Times New Roman" w:cs="Times New Roman"/>
        </w:rPr>
        <w:t xml:space="preserve">один </w:t>
      </w:r>
      <w:r w:rsidRPr="009A4370">
        <w:rPr>
          <w:rFonts w:ascii="Times New Roman" w:hAnsi="Times New Roman" w:cs="Times New Roman"/>
        </w:rPr>
        <w:t>раз в</w:t>
      </w:r>
      <w:r w:rsidR="00E34E31">
        <w:rPr>
          <w:rFonts w:ascii="Times New Roman" w:hAnsi="Times New Roman" w:cs="Times New Roman"/>
        </w:rPr>
        <w:t xml:space="preserve"> </w:t>
      </w:r>
      <w:r w:rsidRPr="009A4370">
        <w:rPr>
          <w:rFonts w:ascii="Times New Roman" w:hAnsi="Times New Roman" w:cs="Times New Roman"/>
        </w:rPr>
        <w:t xml:space="preserve">год по состоянию на </w:t>
      </w:r>
      <w:r w:rsidR="00E34E31">
        <w:rPr>
          <w:rFonts w:ascii="Times New Roman" w:hAnsi="Times New Roman" w:cs="Times New Roman"/>
        </w:rPr>
        <w:t xml:space="preserve">1 </w:t>
      </w:r>
      <w:r w:rsidRPr="009A4370">
        <w:rPr>
          <w:rFonts w:ascii="Times New Roman" w:hAnsi="Times New Roman" w:cs="Times New Roman"/>
        </w:rPr>
        <w:t>число;</w:t>
      </w:r>
    </w:p>
    <w:p w:rsidR="00A862AB" w:rsidRPr="009A4370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 xml:space="preserve">- прочие запасы -  </w:t>
      </w:r>
      <w:r w:rsidR="00E34E31">
        <w:rPr>
          <w:rFonts w:ascii="Times New Roman" w:hAnsi="Times New Roman" w:cs="Times New Roman"/>
        </w:rPr>
        <w:t xml:space="preserve">один </w:t>
      </w:r>
      <w:r w:rsidRPr="009A4370">
        <w:rPr>
          <w:rFonts w:ascii="Times New Roman" w:hAnsi="Times New Roman" w:cs="Times New Roman"/>
        </w:rPr>
        <w:t xml:space="preserve">раз в </w:t>
      </w:r>
      <w:r w:rsidR="00E34E31">
        <w:rPr>
          <w:rFonts w:ascii="Times New Roman" w:hAnsi="Times New Roman" w:cs="Times New Roman"/>
        </w:rPr>
        <w:t>год</w:t>
      </w:r>
      <w:r w:rsidRPr="009A4370">
        <w:rPr>
          <w:rFonts w:ascii="Times New Roman" w:hAnsi="Times New Roman" w:cs="Times New Roman"/>
        </w:rPr>
        <w:t xml:space="preserve"> по состоянию на </w:t>
      </w:r>
      <w:r w:rsidR="00E34E31">
        <w:rPr>
          <w:rFonts w:ascii="Times New Roman" w:hAnsi="Times New Roman" w:cs="Times New Roman"/>
        </w:rPr>
        <w:t>1</w:t>
      </w:r>
      <w:r w:rsidRPr="009A4370">
        <w:rPr>
          <w:rFonts w:ascii="Times New Roman" w:hAnsi="Times New Roman" w:cs="Times New Roman"/>
        </w:rPr>
        <w:t xml:space="preserve"> число;</w:t>
      </w:r>
    </w:p>
    <w:p w:rsidR="00A862AB" w:rsidRPr="009A4370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 xml:space="preserve">- денежные средства - один раз в </w:t>
      </w:r>
      <w:r w:rsidR="00E34E31">
        <w:rPr>
          <w:rFonts w:ascii="Times New Roman" w:hAnsi="Times New Roman" w:cs="Times New Roman"/>
        </w:rPr>
        <w:t>год по состоянию на 1</w:t>
      </w:r>
      <w:r w:rsidRPr="009A4370">
        <w:rPr>
          <w:rFonts w:ascii="Times New Roman" w:hAnsi="Times New Roman" w:cs="Times New Roman"/>
        </w:rPr>
        <w:t xml:space="preserve"> число;</w:t>
      </w:r>
    </w:p>
    <w:p w:rsidR="00A862AB" w:rsidRPr="009A4370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 xml:space="preserve">- денежные документы - один раз в </w:t>
      </w:r>
      <w:r w:rsidR="00E34E31">
        <w:rPr>
          <w:rFonts w:ascii="Times New Roman" w:hAnsi="Times New Roman" w:cs="Times New Roman"/>
        </w:rPr>
        <w:t xml:space="preserve">год </w:t>
      </w:r>
      <w:r w:rsidRPr="009A4370">
        <w:rPr>
          <w:rFonts w:ascii="Times New Roman" w:hAnsi="Times New Roman" w:cs="Times New Roman"/>
        </w:rPr>
        <w:t xml:space="preserve">по состоянию на </w:t>
      </w:r>
      <w:r w:rsidR="00E34E31">
        <w:rPr>
          <w:rFonts w:ascii="Times New Roman" w:hAnsi="Times New Roman" w:cs="Times New Roman"/>
        </w:rPr>
        <w:t>1</w:t>
      </w:r>
      <w:r w:rsidRPr="009A4370">
        <w:rPr>
          <w:rFonts w:ascii="Times New Roman" w:hAnsi="Times New Roman" w:cs="Times New Roman"/>
        </w:rPr>
        <w:t xml:space="preserve"> число;</w:t>
      </w:r>
    </w:p>
    <w:p w:rsidR="00A862AB" w:rsidRPr="009A4370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 xml:space="preserve">- дебиторская, кредиторская задолженность - </w:t>
      </w:r>
      <w:r w:rsidR="00E34E31">
        <w:rPr>
          <w:rFonts w:ascii="Times New Roman" w:hAnsi="Times New Roman" w:cs="Times New Roman"/>
        </w:rPr>
        <w:t>один</w:t>
      </w:r>
      <w:r w:rsidRPr="009A4370">
        <w:rPr>
          <w:rFonts w:ascii="Times New Roman" w:hAnsi="Times New Roman" w:cs="Times New Roman"/>
        </w:rPr>
        <w:t xml:space="preserve"> раз в год по состоянию на </w:t>
      </w:r>
      <w:r w:rsidR="00E34E31">
        <w:rPr>
          <w:rFonts w:ascii="Times New Roman" w:hAnsi="Times New Roman" w:cs="Times New Roman"/>
        </w:rPr>
        <w:t xml:space="preserve">1 </w:t>
      </w:r>
      <w:r w:rsidRPr="009A4370">
        <w:rPr>
          <w:rFonts w:ascii="Times New Roman" w:hAnsi="Times New Roman" w:cs="Times New Roman"/>
        </w:rPr>
        <w:t>число;</w:t>
      </w:r>
    </w:p>
    <w:p w:rsidR="00A862AB" w:rsidRPr="009A4370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>- созданные резервы предстоящих расходов и платежей, оценочные резервы - один раз в год по состоянию на</w:t>
      </w:r>
      <w:r w:rsidR="00E34E31">
        <w:rPr>
          <w:rFonts w:ascii="Times New Roman" w:hAnsi="Times New Roman" w:cs="Times New Roman"/>
        </w:rPr>
        <w:t xml:space="preserve"> 31</w:t>
      </w:r>
      <w:r w:rsidRPr="009A4370">
        <w:rPr>
          <w:rFonts w:ascii="Times New Roman" w:hAnsi="Times New Roman" w:cs="Times New Roman"/>
        </w:rPr>
        <w:t xml:space="preserve"> </w:t>
      </w:r>
      <w:r w:rsidR="00E34E31">
        <w:rPr>
          <w:rFonts w:ascii="Times New Roman" w:hAnsi="Times New Roman" w:cs="Times New Roman"/>
        </w:rPr>
        <w:t>декабря</w:t>
      </w:r>
      <w:r w:rsidRPr="009A4370">
        <w:rPr>
          <w:rFonts w:ascii="Times New Roman" w:hAnsi="Times New Roman" w:cs="Times New Roman"/>
        </w:rPr>
        <w:t>;</w:t>
      </w:r>
    </w:p>
    <w:p w:rsidR="00A862AB" w:rsidRPr="0051779E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779E">
        <w:rPr>
          <w:rFonts w:ascii="Times New Roman" w:hAnsi="Times New Roman" w:cs="Times New Roman"/>
        </w:rPr>
        <w:t>- учтенное за б</w:t>
      </w:r>
      <w:r w:rsidR="00E34E31" w:rsidRPr="0051779E">
        <w:rPr>
          <w:rFonts w:ascii="Times New Roman" w:hAnsi="Times New Roman" w:cs="Times New Roman"/>
        </w:rPr>
        <w:t>алансом имущество - один раз в год</w:t>
      </w:r>
      <w:r w:rsidRPr="0051779E">
        <w:rPr>
          <w:rFonts w:ascii="Times New Roman" w:hAnsi="Times New Roman" w:cs="Times New Roman"/>
        </w:rPr>
        <w:t xml:space="preserve"> по состоянию на</w:t>
      </w:r>
      <w:r w:rsidR="00E34E31" w:rsidRPr="0051779E">
        <w:rPr>
          <w:rFonts w:ascii="Times New Roman" w:hAnsi="Times New Roman" w:cs="Times New Roman"/>
        </w:rPr>
        <w:t xml:space="preserve"> 1</w:t>
      </w:r>
      <w:r w:rsidRPr="0051779E">
        <w:rPr>
          <w:rFonts w:ascii="Times New Roman" w:hAnsi="Times New Roman" w:cs="Times New Roman"/>
        </w:rPr>
        <w:t xml:space="preserve"> число;</w:t>
      </w:r>
    </w:p>
    <w:p w:rsidR="00A862AB" w:rsidRPr="0051779E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779E">
        <w:rPr>
          <w:rFonts w:ascii="Times New Roman" w:hAnsi="Times New Roman" w:cs="Times New Roman"/>
        </w:rPr>
        <w:t xml:space="preserve">- иные </w:t>
      </w:r>
      <w:proofErr w:type="spellStart"/>
      <w:r w:rsidRPr="0051779E">
        <w:rPr>
          <w:rFonts w:ascii="Times New Roman" w:hAnsi="Times New Roman" w:cs="Times New Roman"/>
        </w:rPr>
        <w:t>забалансовые</w:t>
      </w:r>
      <w:proofErr w:type="spellEnd"/>
      <w:r w:rsidRPr="0051779E">
        <w:rPr>
          <w:rFonts w:ascii="Times New Roman" w:hAnsi="Times New Roman" w:cs="Times New Roman"/>
        </w:rPr>
        <w:t xml:space="preserve"> счета - один раз </w:t>
      </w:r>
      <w:proofErr w:type="gramStart"/>
      <w:r w:rsidRPr="0051779E">
        <w:rPr>
          <w:rFonts w:ascii="Times New Roman" w:hAnsi="Times New Roman" w:cs="Times New Roman"/>
        </w:rPr>
        <w:t>в</w:t>
      </w:r>
      <w:proofErr w:type="gramEnd"/>
      <w:r w:rsidRPr="0051779E">
        <w:rPr>
          <w:rFonts w:ascii="Times New Roman" w:hAnsi="Times New Roman" w:cs="Times New Roman"/>
        </w:rPr>
        <w:t xml:space="preserve"> </w:t>
      </w:r>
      <w:proofErr w:type="gramStart"/>
      <w:r w:rsidRPr="0051779E">
        <w:rPr>
          <w:rFonts w:ascii="Times New Roman" w:hAnsi="Times New Roman" w:cs="Times New Roman"/>
        </w:rPr>
        <w:t>года</w:t>
      </w:r>
      <w:proofErr w:type="gramEnd"/>
      <w:r w:rsidRPr="0051779E">
        <w:rPr>
          <w:rFonts w:ascii="Times New Roman" w:hAnsi="Times New Roman" w:cs="Times New Roman"/>
        </w:rPr>
        <w:t xml:space="preserve"> по состоянию на</w:t>
      </w:r>
      <w:r w:rsidR="00E34E31" w:rsidRPr="0051779E">
        <w:rPr>
          <w:rFonts w:ascii="Times New Roman" w:hAnsi="Times New Roman" w:cs="Times New Roman"/>
        </w:rPr>
        <w:t xml:space="preserve"> 1</w:t>
      </w:r>
      <w:r w:rsidRPr="0051779E">
        <w:rPr>
          <w:rFonts w:ascii="Times New Roman" w:hAnsi="Times New Roman" w:cs="Times New Roman"/>
        </w:rPr>
        <w:t xml:space="preserve"> число.</w:t>
      </w:r>
    </w:p>
    <w:p w:rsidR="0051779E" w:rsidRDefault="0051779E" w:rsidP="0051779E">
      <w:pPr>
        <w:jc w:val="both"/>
        <w:rPr>
          <w:rFonts w:ascii="Times New Roman" w:hAnsi="Times New Roman" w:cs="Times New Roman"/>
        </w:rPr>
      </w:pPr>
    </w:p>
    <w:p w:rsidR="0051779E" w:rsidRPr="0051779E" w:rsidRDefault="0051779E" w:rsidP="005177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1779E">
        <w:rPr>
          <w:rFonts w:ascii="Times New Roman" w:hAnsi="Times New Roman" w:cs="Times New Roman"/>
        </w:rPr>
        <w:t xml:space="preserve">Для обеспечения достоверности данных бухгалтерского учета и бухгалтерской отчетности в ходе проведения инвентаризации </w:t>
      </w:r>
      <w:r>
        <w:rPr>
          <w:rFonts w:ascii="Times New Roman" w:hAnsi="Times New Roman" w:cs="Times New Roman"/>
        </w:rPr>
        <w:t>активов</w:t>
      </w:r>
      <w:r w:rsidRPr="0051779E">
        <w:rPr>
          <w:rFonts w:ascii="Times New Roman" w:hAnsi="Times New Roman" w:cs="Times New Roman"/>
        </w:rPr>
        <w:t xml:space="preserve"> и обязательств в обязательном порядке документально подтверждать суммы дебиторской и кредиторской задолженности актами сверки, в том числе и их факсимильными копиями, согласованными с контрагентами.</w:t>
      </w:r>
    </w:p>
    <w:p w:rsidR="0051779E" w:rsidRPr="0051779E" w:rsidRDefault="0051779E" w:rsidP="005177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1779E">
        <w:rPr>
          <w:rFonts w:ascii="Times New Roman" w:hAnsi="Times New Roman" w:cs="Times New Roman"/>
        </w:rPr>
        <w:t xml:space="preserve"> Смену материально-ответственных лиц производить в режиме инвентаризации.</w:t>
      </w:r>
    </w:p>
    <w:p w:rsidR="0051779E" w:rsidRPr="0051779E" w:rsidRDefault="0051779E" w:rsidP="0051779E">
      <w:pPr>
        <w:jc w:val="both"/>
        <w:rPr>
          <w:rFonts w:ascii="Times New Roman" w:hAnsi="Times New Roman" w:cs="Times New Roman"/>
        </w:rPr>
      </w:pPr>
      <w:r w:rsidRPr="0051779E">
        <w:rPr>
          <w:rFonts w:ascii="Times New Roman" w:hAnsi="Times New Roman" w:cs="Times New Roman"/>
        </w:rPr>
        <w:t xml:space="preserve"> </w:t>
      </w:r>
    </w:p>
    <w:p w:rsidR="0051779E" w:rsidRPr="0051779E" w:rsidRDefault="0051779E" w:rsidP="0051779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</w:t>
      </w:r>
      <w:r w:rsidRPr="0051779E">
        <w:t>Действующие инвентаризационные комиссии и комиссия для проведения  внезапной проверки кассы созда</w:t>
      </w:r>
      <w:r>
        <w:t>ю</w:t>
      </w:r>
      <w:r w:rsidRPr="0051779E">
        <w:t>тся и утвержда</w:t>
      </w:r>
      <w:r>
        <w:t>ю</w:t>
      </w:r>
      <w:r w:rsidRPr="0051779E">
        <w:t>тся в соответствии с отдельными Приказами по учреждению</w:t>
      </w:r>
      <w:r w:rsidR="008773F0">
        <w:t>.</w:t>
      </w:r>
      <w:r w:rsidRPr="0051779E">
        <w:t xml:space="preserve"> (Основание: статья 11 Закона от 6 декабря 2011 г. № 402-ФЗ, пункт 1.5 Методических указаний, утвержденных приказом Минфина России от 13 июня 1995 г. № 49).</w:t>
      </w:r>
    </w:p>
    <w:p w:rsidR="0051779E" w:rsidRPr="0051779E" w:rsidRDefault="0051779E" w:rsidP="0051779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1779E" w:rsidRPr="0051779E" w:rsidRDefault="0051779E" w:rsidP="0051779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 </w:t>
      </w:r>
      <w:r w:rsidRPr="0051779E">
        <w:t xml:space="preserve">Ежегодно, в последний рабочий день декабря, перед составлением годовой отчетности проводить инвентаризацию резерва на предстоящую оплату отпусков с оформлением Акта </w:t>
      </w:r>
      <w:proofErr w:type="gramStart"/>
      <w:r w:rsidRPr="0051779E">
        <w:t>согласно Приложения</w:t>
      </w:r>
      <w:proofErr w:type="gramEnd"/>
      <w:r w:rsidRPr="0051779E">
        <w:t xml:space="preserve"> №2 к учетной политике.</w:t>
      </w:r>
    </w:p>
    <w:p w:rsidR="00A862AB" w:rsidRPr="0051779E" w:rsidRDefault="00A862AB" w:rsidP="0051779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1779E">
        <w:rPr>
          <w:rFonts w:ascii="Times New Roman" w:hAnsi="Times New Roman" w:cs="Times New Roman"/>
        </w:rPr>
        <w:t xml:space="preserve">                                </w:t>
      </w:r>
    </w:p>
    <w:p w:rsidR="00A862AB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779E">
        <w:rPr>
          <w:rFonts w:ascii="Times New Roman" w:hAnsi="Times New Roman" w:cs="Times New Roman"/>
          <w:bCs/>
        </w:rPr>
        <w:t>2.4.</w:t>
      </w:r>
      <w:r w:rsidRPr="0051779E">
        <w:rPr>
          <w:rFonts w:ascii="Times New Roman" w:hAnsi="Times New Roman" w:cs="Times New Roman"/>
        </w:rPr>
        <w:t xml:space="preserve"> Выявление фактического наличия активов; сопоставление</w:t>
      </w:r>
      <w:r w:rsidRPr="009A4370">
        <w:rPr>
          <w:rFonts w:ascii="Times New Roman" w:hAnsi="Times New Roman" w:cs="Times New Roman"/>
        </w:rPr>
        <w:t xml:space="preserve"> фактического наличия активов с данными бухгалтерского учета при инвентаризации определяют путем обязательного подсчета, взвешивания, обмера. </w:t>
      </w:r>
    </w:p>
    <w:p w:rsidR="00A862AB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B3BA1">
        <w:rPr>
          <w:rFonts w:ascii="Times New Roman" w:hAnsi="Times New Roman" w:cs="Times New Roman"/>
        </w:rPr>
        <w:t>о объектам учета, в отношении которых выявлена недостача в графе «Примечание» Инвентаризационной описи по объектам нефинансовых активов (ф.0504087) указывается количество объектов учета, выбывших в пределах норм естественной убыл</w:t>
      </w:r>
      <w:r>
        <w:rPr>
          <w:rFonts w:ascii="Times New Roman" w:hAnsi="Times New Roman" w:cs="Times New Roman"/>
        </w:rPr>
        <w:t>и.</w:t>
      </w:r>
    </w:p>
    <w:p w:rsidR="00D4658C" w:rsidRPr="00D4658C" w:rsidRDefault="00D4658C" w:rsidP="00D4658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4658C">
        <w:rPr>
          <w:rFonts w:ascii="Times New Roman" w:hAnsi="Times New Roman" w:cs="Times New Roman"/>
        </w:rPr>
        <w:t xml:space="preserve">К основным причинам </w:t>
      </w:r>
      <w:r>
        <w:rPr>
          <w:rFonts w:ascii="Times New Roman" w:hAnsi="Times New Roman" w:cs="Times New Roman"/>
        </w:rPr>
        <w:t xml:space="preserve">недостачи </w:t>
      </w:r>
      <w:r w:rsidRPr="00D4658C">
        <w:rPr>
          <w:rFonts w:ascii="Times New Roman" w:hAnsi="Times New Roman" w:cs="Times New Roman"/>
        </w:rPr>
        <w:t>следует отнести:</w:t>
      </w:r>
    </w:p>
    <w:p w:rsidR="00D4658C" w:rsidRPr="00D4658C" w:rsidRDefault="00D4658C" w:rsidP="00D4658C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4658C">
        <w:rPr>
          <w:rFonts w:ascii="Times New Roman" w:hAnsi="Times New Roman" w:cs="Times New Roman"/>
        </w:rPr>
        <w:t>Хищение.</w:t>
      </w:r>
    </w:p>
    <w:p w:rsidR="00D4658C" w:rsidRDefault="00D4658C" w:rsidP="00D4658C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4658C">
        <w:rPr>
          <w:rFonts w:ascii="Times New Roman" w:hAnsi="Times New Roman" w:cs="Times New Roman"/>
        </w:rPr>
        <w:t xml:space="preserve">Непредвиденные обстоятельства. </w:t>
      </w:r>
    </w:p>
    <w:p w:rsidR="00D4658C" w:rsidRDefault="00D4658C" w:rsidP="00D4658C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4658C">
        <w:rPr>
          <w:rFonts w:ascii="Times New Roman" w:hAnsi="Times New Roman" w:cs="Times New Roman"/>
        </w:rPr>
        <w:t>Издержки производства</w:t>
      </w:r>
      <w:r w:rsidR="00E967E9">
        <w:rPr>
          <w:rFonts w:ascii="Times New Roman" w:hAnsi="Times New Roman" w:cs="Times New Roman"/>
        </w:rPr>
        <w:t xml:space="preserve"> (в допустимых пределах)</w:t>
      </w:r>
      <w:r w:rsidRPr="00D465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4658C" w:rsidRDefault="00D4658C" w:rsidP="00D4658C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4658C">
        <w:rPr>
          <w:rFonts w:ascii="Times New Roman" w:hAnsi="Times New Roman" w:cs="Times New Roman"/>
        </w:rPr>
        <w:t>Пересортица.</w:t>
      </w:r>
    </w:p>
    <w:p w:rsidR="00D4658C" w:rsidRDefault="00D4658C" w:rsidP="00E967E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4658C">
        <w:rPr>
          <w:rFonts w:ascii="Times New Roman" w:hAnsi="Times New Roman" w:cs="Times New Roman"/>
        </w:rPr>
        <w:t>Для каждого из данных типов недостачи б</w:t>
      </w:r>
      <w:r>
        <w:rPr>
          <w:rFonts w:ascii="Times New Roman" w:hAnsi="Times New Roman" w:cs="Times New Roman"/>
        </w:rPr>
        <w:t xml:space="preserve">удет своя процедура </w:t>
      </w:r>
      <w:r w:rsidRPr="00E967E9">
        <w:rPr>
          <w:rFonts w:ascii="Times New Roman" w:hAnsi="Times New Roman" w:cs="Times New Roman"/>
        </w:rPr>
        <w:t xml:space="preserve">оформления, поэтому предварительно важно выявить причину подобного негативного явления. </w:t>
      </w:r>
      <w:r w:rsidR="00E967E9" w:rsidRPr="00E967E9">
        <w:rPr>
          <w:rFonts w:ascii="Times New Roman" w:hAnsi="Times New Roman" w:cs="Times New Roman"/>
        </w:rPr>
        <w:t xml:space="preserve">Оформление документации возможно только после окончательного подведения итогов инвентаризации. Чтобы подготовить акт на списание, необходимо также приложить все документы (чеки, договоры и акты проведения работ), которые подтверждают затраты, указанные в акте. Если обычные правила оформления недостачи не могут быть применены, то тогда потребуется составить приказ на удержание недостачи с виновного. Подобное возможно, если имеет место факт явного хищения или если превышены </w:t>
      </w:r>
      <w:r w:rsidR="00E967E9" w:rsidRPr="00E967E9">
        <w:rPr>
          <w:rFonts w:ascii="Times New Roman" w:hAnsi="Times New Roman" w:cs="Times New Roman"/>
        </w:rPr>
        <w:lastRenderedPageBreak/>
        <w:t xml:space="preserve">допустимые объемы недостающих товаров. На усмотрение руководства такой работник может быть освобожден от обязанностей – переведен на другую должность или </w:t>
      </w:r>
      <w:hyperlink r:id="rId7" w:tooltip="Увольнение материально ответственного лица" w:history="1">
        <w:r w:rsidR="00E967E9" w:rsidRPr="00E967E9">
          <w:rPr>
            <w:rStyle w:val="a7"/>
            <w:rFonts w:ascii="Times New Roman" w:hAnsi="Times New Roman" w:cs="Times New Roman"/>
            <w:color w:val="auto"/>
            <w:u w:val="none"/>
          </w:rPr>
          <w:t>уволен</w:t>
        </w:r>
      </w:hyperlink>
      <w:r w:rsidR="00E967E9" w:rsidRPr="00E967E9">
        <w:rPr>
          <w:rFonts w:ascii="Times New Roman" w:hAnsi="Times New Roman" w:cs="Times New Roman"/>
        </w:rPr>
        <w:t>.</w:t>
      </w:r>
    </w:p>
    <w:p w:rsidR="00A862AB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9A4370">
        <w:rPr>
          <w:rFonts w:ascii="Times New Roman" w:hAnsi="Times New Roman" w:cs="Times New Roman"/>
        </w:rPr>
        <w:t xml:space="preserve">2.5. Выявление активов, не соответствующих условиям признания актива, в том числе активов предназначенных для отчуждения не в пользу государственного сектора осуществляется </w:t>
      </w:r>
      <w:r w:rsidRPr="009A4370">
        <w:rPr>
          <w:rFonts w:ascii="Times New Roman" w:hAnsi="Times New Roman" w:cs="Times New Roman"/>
          <w:bCs/>
        </w:rPr>
        <w:t>путем определения «Статуса объекта учета», «Целевой функции актива» в соответствующих графах Инвентаризационной описи по объектам нефинансовых активов (форма № 0504087).</w:t>
      </w:r>
    </w:p>
    <w:p w:rsidR="00A862AB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Статус объекта и ц</w:t>
      </w:r>
      <w:r w:rsidRPr="009A4370">
        <w:rPr>
          <w:rFonts w:ascii="Times New Roman" w:hAnsi="Times New Roman" w:cs="Times New Roman"/>
          <w:bCs/>
        </w:rPr>
        <w:t xml:space="preserve">елевая функция объекта определяется инвентаризационной комиссией в ходе осмотра объектов </w:t>
      </w:r>
      <w:r>
        <w:rPr>
          <w:rFonts w:ascii="Times New Roman" w:hAnsi="Times New Roman" w:cs="Times New Roman"/>
          <w:bCs/>
        </w:rPr>
        <w:t>нефинансовых активов.</w:t>
      </w:r>
    </w:p>
    <w:p w:rsidR="00A862AB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9A4370">
        <w:rPr>
          <w:rFonts w:ascii="Times New Roman" w:hAnsi="Times New Roman" w:cs="Times New Roman"/>
          <w:bCs/>
        </w:rPr>
        <w:t>Рекомендуемые характеристики «Статуса объекта», «Целевой функции» приведены в Приложении 1 к данному Порядку.</w:t>
      </w:r>
    </w:p>
    <w:p w:rsidR="00A862AB" w:rsidRPr="001D086C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Pr="001D086C">
        <w:rPr>
          <w:rFonts w:ascii="Times New Roman" w:hAnsi="Times New Roman" w:cs="Times New Roman"/>
          <w:bCs/>
        </w:rPr>
        <w:t xml:space="preserve"> графе «Примечание» Инвентаризационной описи по объектам нефинансовых активов (ф.0504087) указывается информация о причинах (основаниях) изменения статуса и (или) целевой функции объекта учета с предыдущей инвентаризации</w:t>
      </w:r>
      <w:r>
        <w:rPr>
          <w:rFonts w:ascii="Times New Roman" w:hAnsi="Times New Roman" w:cs="Times New Roman"/>
          <w:bCs/>
        </w:rPr>
        <w:t>.</w:t>
      </w:r>
    </w:p>
    <w:p w:rsidR="00A862AB" w:rsidRPr="009A4370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</w:p>
    <w:p w:rsidR="007E7735" w:rsidRDefault="00A862AB" w:rsidP="007E77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 xml:space="preserve">Порядок действий инвентаризационной комиссии </w:t>
      </w:r>
      <w:r>
        <w:rPr>
          <w:rFonts w:ascii="Times New Roman" w:hAnsi="Times New Roman" w:cs="Times New Roman"/>
        </w:rPr>
        <w:t>при в</w:t>
      </w:r>
      <w:r w:rsidRPr="006332CE">
        <w:rPr>
          <w:rFonts w:ascii="Times New Roman" w:hAnsi="Times New Roman" w:cs="Times New Roman"/>
        </w:rPr>
        <w:t xml:space="preserve">ыявлении активов, не соответствующих условиям признания актива, в том числе активов предназначенных для отчуждения не в </w:t>
      </w:r>
      <w:r w:rsidR="007E7735">
        <w:rPr>
          <w:rFonts w:ascii="Times New Roman" w:hAnsi="Times New Roman" w:cs="Times New Roman"/>
        </w:rPr>
        <w:t xml:space="preserve">пользу государственного сектора: </w:t>
      </w:r>
    </w:p>
    <w:p w:rsidR="00A862AB" w:rsidRPr="007E7735" w:rsidRDefault="007E7735" w:rsidP="007E77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E7735">
        <w:rPr>
          <w:rFonts w:ascii="Times New Roman" w:hAnsi="Times New Roman" w:cs="Times New Roman"/>
        </w:rPr>
        <w:t xml:space="preserve">Порядок заполнения граф 8 и 9 Инвентаризационной описи ф. 0504087 установлен по коду. </w:t>
      </w:r>
      <w:r>
        <w:rPr>
          <w:rFonts w:ascii="Times New Roman" w:hAnsi="Times New Roman" w:cs="Times New Roman"/>
        </w:rPr>
        <w:t>Е</w:t>
      </w:r>
      <w:r w:rsidRPr="007E7735">
        <w:rPr>
          <w:rFonts w:ascii="Times New Roman" w:hAnsi="Times New Roman" w:cs="Times New Roman"/>
        </w:rPr>
        <w:t>сли инвентаризационная комиссия определила, что оборудование не соответствует понятию «Актив», то заполняются графы 14 и 15 в</w:t>
      </w:r>
      <w:r>
        <w:rPr>
          <w:rFonts w:ascii="Times New Roman" w:hAnsi="Times New Roman" w:cs="Times New Roman"/>
        </w:rPr>
        <w:t>едомости расхождений ф. 0504092, которая обязательна для составления</w:t>
      </w:r>
      <w:r w:rsidRPr="007E7735">
        <w:rPr>
          <w:rFonts w:ascii="Times New Roman" w:hAnsi="Times New Roman" w:cs="Times New Roman"/>
        </w:rPr>
        <w:t>, если в ходе инвентаризации комиссия выявила основные средства, не соответствующие условиям актива.</w:t>
      </w:r>
      <w:r>
        <w:rPr>
          <w:rFonts w:ascii="Times New Roman" w:hAnsi="Times New Roman" w:cs="Times New Roman"/>
        </w:rPr>
        <w:t xml:space="preserve"> </w:t>
      </w:r>
      <w:r w:rsidRPr="007E7735">
        <w:rPr>
          <w:rFonts w:ascii="Times New Roman" w:hAnsi="Times New Roman" w:cs="Times New Roman"/>
        </w:rPr>
        <w:t>Во время инвентаризации комиссия учреждения выявляет оборудование, не являющееся активом, и приходит к выводу, что в дальнейшем использовать его невозможно.</w:t>
      </w:r>
      <w:r>
        <w:rPr>
          <w:rFonts w:ascii="Times New Roman" w:hAnsi="Times New Roman" w:cs="Times New Roman"/>
        </w:rPr>
        <w:t xml:space="preserve"> </w:t>
      </w:r>
      <w:r w:rsidRPr="007E7735">
        <w:rPr>
          <w:rFonts w:ascii="Times New Roman" w:hAnsi="Times New Roman" w:cs="Times New Roman"/>
        </w:rPr>
        <w:t>Если установлено, что объекты имущества неэффективны для дальнейшей эксплуатации и ремонта, не соответствуют критериям актива, то по решению комиссии по поступлению и выбытию активов такие объекты учитывают на </w:t>
      </w:r>
      <w:proofErr w:type="spellStart"/>
      <w:r w:rsidRPr="007E7735">
        <w:rPr>
          <w:rFonts w:ascii="Times New Roman" w:hAnsi="Times New Roman" w:cs="Times New Roman"/>
        </w:rPr>
        <w:t>забалансовом</w:t>
      </w:r>
      <w:proofErr w:type="spellEnd"/>
      <w:r w:rsidRPr="007E7735">
        <w:rPr>
          <w:rFonts w:ascii="Times New Roman" w:hAnsi="Times New Roman" w:cs="Times New Roman"/>
        </w:rPr>
        <w:t xml:space="preserve"> счете 02 «Материальные ценности, принятые на хране</w:t>
      </w:r>
      <w:r>
        <w:rPr>
          <w:rFonts w:ascii="Times New Roman" w:hAnsi="Times New Roman" w:cs="Times New Roman"/>
        </w:rPr>
        <w:t xml:space="preserve">ние», в соответствии с </w:t>
      </w:r>
      <w:r w:rsidRPr="007E7735">
        <w:rPr>
          <w:rFonts w:ascii="Times New Roman" w:hAnsi="Times New Roman" w:cs="Times New Roman"/>
        </w:rPr>
        <w:t>требовани</w:t>
      </w:r>
      <w:r>
        <w:rPr>
          <w:rFonts w:ascii="Times New Roman" w:hAnsi="Times New Roman" w:cs="Times New Roman"/>
        </w:rPr>
        <w:t>ями</w:t>
      </w:r>
      <w:r w:rsidRPr="007E7735">
        <w:rPr>
          <w:rFonts w:ascii="Times New Roman" w:hAnsi="Times New Roman" w:cs="Times New Roman"/>
        </w:rPr>
        <w:t xml:space="preserve"> п. 335 Инструкции № 157н.</w:t>
      </w:r>
      <w:r>
        <w:rPr>
          <w:rFonts w:ascii="Times New Roman" w:hAnsi="Times New Roman" w:cs="Times New Roman"/>
        </w:rPr>
        <w:t xml:space="preserve"> </w:t>
      </w:r>
      <w:r w:rsidRPr="007E7735">
        <w:rPr>
          <w:rFonts w:ascii="Times New Roman" w:hAnsi="Times New Roman" w:cs="Times New Roman"/>
        </w:rPr>
        <w:t>Н</w:t>
      </w:r>
      <w:r w:rsidR="00A862AB" w:rsidRPr="007E7735">
        <w:rPr>
          <w:rFonts w:ascii="Times New Roman" w:hAnsi="Times New Roman" w:cs="Times New Roman"/>
        </w:rPr>
        <w:t>еобходимость определения статуса и целевой функции закреплена только в отношении объектов нефинансовых активов. При этом до вступления в силу стандартов «Нематериальные активы», «Непроизведенные активы», «Биологические активы» необходимость определять статус и целевую функцию нематериальных активов, непроизведенных активов, биологических ресурсов отсутствует.</w:t>
      </w:r>
    </w:p>
    <w:p w:rsidR="00A862AB" w:rsidRPr="007E7735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862AB" w:rsidRPr="009A4370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9A437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9A4370">
        <w:rPr>
          <w:rFonts w:ascii="Times New Roman" w:hAnsi="Times New Roman" w:cs="Times New Roman"/>
        </w:rPr>
        <w:t>. Выявление изменения конструктивных составных частей имущественного комплекса, произведенных пользователем (арендатором) имущества за время его использования, в том числе неотделимы</w:t>
      </w:r>
      <w:r>
        <w:rPr>
          <w:rFonts w:ascii="Times New Roman" w:hAnsi="Times New Roman" w:cs="Times New Roman"/>
        </w:rPr>
        <w:t>х</w:t>
      </w:r>
      <w:r w:rsidRPr="009A4370">
        <w:rPr>
          <w:rFonts w:ascii="Times New Roman" w:hAnsi="Times New Roman" w:cs="Times New Roman"/>
        </w:rPr>
        <w:t xml:space="preserve"> улучшени</w:t>
      </w:r>
      <w:r>
        <w:rPr>
          <w:rFonts w:ascii="Times New Roman" w:hAnsi="Times New Roman" w:cs="Times New Roman"/>
        </w:rPr>
        <w:t>й</w:t>
      </w:r>
      <w:r w:rsidRPr="009A4370">
        <w:rPr>
          <w:rFonts w:ascii="Times New Roman" w:hAnsi="Times New Roman" w:cs="Times New Roman"/>
        </w:rPr>
        <w:t xml:space="preserve"> осуществляется в ходе </w:t>
      </w:r>
      <w:r w:rsidRPr="009A4370">
        <w:rPr>
          <w:rFonts w:ascii="Times New Roman" w:hAnsi="Times New Roman" w:cs="Times New Roman"/>
          <w:bCs/>
        </w:rPr>
        <w:t xml:space="preserve">инвентаризации при передаче (возврате) комплекса объектов учета (имущественного комплекса) в аренду, управление, безвозмездное пользование, хранение, а также при выкупе, продаже комплекса объектов учета (имущественного комплекса) </w:t>
      </w:r>
    </w:p>
    <w:p w:rsidR="00A862AB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9A4370">
        <w:rPr>
          <w:rFonts w:ascii="Times New Roman" w:hAnsi="Times New Roman" w:cs="Times New Roman"/>
          <w:bCs/>
        </w:rPr>
        <w:t>Все выявленные изменения конструктивных составных частей имущественного комплекса, произведенные пользователем (арендатором) имущества за время его использования, в том числе неотделимые улучшения подлежат отражению в инвентаризационных документах.</w:t>
      </w:r>
    </w:p>
    <w:p w:rsidR="00A862AB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2.7. Необходимость проведения инвентаризации активов для целей в</w:t>
      </w:r>
      <w:r w:rsidRPr="007754A7">
        <w:rPr>
          <w:rFonts w:ascii="Times New Roman" w:hAnsi="Times New Roman" w:cs="Times New Roman"/>
          <w:bCs/>
        </w:rPr>
        <w:t>ыявлени</w:t>
      </w:r>
      <w:r>
        <w:rPr>
          <w:rFonts w:ascii="Times New Roman" w:hAnsi="Times New Roman" w:cs="Times New Roman"/>
          <w:bCs/>
        </w:rPr>
        <w:t>я</w:t>
      </w:r>
      <w:r w:rsidRPr="007754A7">
        <w:rPr>
          <w:rFonts w:ascii="Times New Roman" w:hAnsi="Times New Roman" w:cs="Times New Roman"/>
          <w:bCs/>
        </w:rPr>
        <w:t xml:space="preserve"> объектов, созданных в рамках проведения ремонтных работ, соответствующих критериям признания объектов основных средств,</w:t>
      </w:r>
      <w:r w:rsidRPr="00A4501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возникает </w:t>
      </w:r>
      <w:r w:rsidRPr="00A45015">
        <w:rPr>
          <w:rFonts w:ascii="Times New Roman" w:hAnsi="Times New Roman" w:cs="Times New Roman"/>
          <w:bCs/>
        </w:rPr>
        <w:t>в случаях:</w:t>
      </w:r>
    </w:p>
    <w:p w:rsidR="00A862AB" w:rsidRPr="00A45015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7754A7">
        <w:rPr>
          <w:rFonts w:ascii="Times New Roman" w:hAnsi="Times New Roman" w:cs="Times New Roman"/>
          <w:bCs/>
        </w:rPr>
        <w:t>частичной замены в рамках капитального ремонта в целях реконструкции, технического перевооружения, модернизации,</w:t>
      </w:r>
    </w:p>
    <w:p w:rsidR="00A862AB" w:rsidRPr="00A45015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A45015">
        <w:rPr>
          <w:rFonts w:ascii="Times New Roman" w:hAnsi="Times New Roman" w:cs="Times New Roman"/>
          <w:bCs/>
        </w:rPr>
        <w:lastRenderedPageBreak/>
        <w:t xml:space="preserve">-если порядок эксплуатации объекта основных средств (его составных частей) требует замены отдельных составных частей объекта, </w:t>
      </w:r>
    </w:p>
    <w:p w:rsidR="00A862AB" w:rsidRPr="00A45015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A45015">
        <w:rPr>
          <w:rFonts w:ascii="Times New Roman" w:hAnsi="Times New Roman" w:cs="Times New Roman"/>
          <w:bCs/>
        </w:rPr>
        <w:t>-проведения регулярных осмотров на предмет наличия дефектов, являющихся обязательным условием их эксплуатации</w:t>
      </w:r>
      <w:r>
        <w:rPr>
          <w:rFonts w:ascii="Times New Roman" w:hAnsi="Times New Roman" w:cs="Times New Roman"/>
          <w:bCs/>
        </w:rPr>
        <w:t>.</w:t>
      </w:r>
    </w:p>
    <w:p w:rsidR="00A862AB" w:rsidRPr="009A4370" w:rsidRDefault="00A862AB" w:rsidP="00095D2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2.8. Инвентаризация с целью </w:t>
      </w:r>
      <w:r w:rsidRPr="009A4370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4370">
        <w:rPr>
          <w:rFonts w:ascii="Times New Roman" w:hAnsi="Times New Roman" w:cs="Times New Roman"/>
          <w:sz w:val="24"/>
          <w:szCs w:val="24"/>
        </w:rPr>
        <w:t xml:space="preserve"> полноты отражения в учете обязательств; выявлени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4370">
        <w:rPr>
          <w:rFonts w:ascii="Times New Roman" w:hAnsi="Times New Roman" w:cs="Times New Roman"/>
          <w:sz w:val="24"/>
          <w:szCs w:val="24"/>
        </w:rPr>
        <w:t xml:space="preserve"> обязательств, не соответствующих критериям признания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6311F7">
        <w:rPr>
          <w:rFonts w:ascii="Times New Roman" w:hAnsi="Times New Roman" w:cs="Times New Roman"/>
          <w:sz w:val="24"/>
          <w:szCs w:val="24"/>
        </w:rPr>
        <w:t>целях составления годовой бухгалтерской (финансовой) отчетности</w:t>
      </w:r>
      <w:r>
        <w:rPr>
          <w:rFonts w:ascii="Times New Roman" w:hAnsi="Times New Roman" w:cs="Times New Roman"/>
          <w:sz w:val="24"/>
          <w:szCs w:val="24"/>
        </w:rPr>
        <w:t>, а также в иных случаях, установленных Приказом (распоряжением) руководителя учреждения.</w:t>
      </w:r>
    </w:p>
    <w:p w:rsidR="00A862AB" w:rsidRDefault="00A862AB" w:rsidP="00095D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bookmarkStart w:id="1" w:name="_Hlk507296107"/>
    </w:p>
    <w:bookmarkEnd w:id="1"/>
    <w:p w:rsidR="00A862AB" w:rsidRPr="009A4370" w:rsidRDefault="00A862AB" w:rsidP="00095D25">
      <w:pPr>
        <w:jc w:val="both"/>
        <w:rPr>
          <w:rFonts w:ascii="Times New Roman" w:hAnsi="Times New Roman" w:cs="Times New Roman"/>
        </w:rPr>
      </w:pPr>
    </w:p>
    <w:p w:rsidR="00A862AB" w:rsidRPr="009A4370" w:rsidRDefault="00A862AB" w:rsidP="00A862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Hlk507299565"/>
    </w:p>
    <w:p w:rsidR="00A862AB" w:rsidRDefault="00A862AB" w:rsidP="00A862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4A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F4AEE">
        <w:rPr>
          <w:rFonts w:ascii="Times New Roman" w:hAnsi="Times New Roman" w:cs="Times New Roman"/>
          <w:sz w:val="24"/>
          <w:szCs w:val="24"/>
        </w:rPr>
        <w:t xml:space="preserve">1  </w:t>
      </w:r>
    </w:p>
    <w:p w:rsidR="00A862AB" w:rsidRDefault="00A862AB" w:rsidP="00A862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4AEE">
        <w:rPr>
          <w:rFonts w:ascii="Times New Roman" w:hAnsi="Times New Roman" w:cs="Times New Roman"/>
          <w:sz w:val="24"/>
          <w:szCs w:val="24"/>
        </w:rPr>
        <w:t xml:space="preserve">к Порядку проведения инвентаризации </w:t>
      </w:r>
    </w:p>
    <w:p w:rsidR="00A862AB" w:rsidRPr="00FF4AEE" w:rsidRDefault="00A862AB" w:rsidP="00095D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4AEE">
        <w:rPr>
          <w:rFonts w:ascii="Times New Roman" w:hAnsi="Times New Roman" w:cs="Times New Roman"/>
          <w:sz w:val="24"/>
          <w:szCs w:val="24"/>
        </w:rPr>
        <w:t xml:space="preserve">активов и </w:t>
      </w:r>
      <w:r w:rsidR="00095D25">
        <w:rPr>
          <w:rFonts w:ascii="Times New Roman" w:hAnsi="Times New Roman" w:cs="Times New Roman"/>
          <w:sz w:val="24"/>
          <w:szCs w:val="24"/>
        </w:rPr>
        <w:t>обязательств</w:t>
      </w:r>
    </w:p>
    <w:bookmarkEnd w:id="2"/>
    <w:p w:rsidR="00A862AB" w:rsidRPr="009A4370" w:rsidRDefault="00A862AB" w:rsidP="00A862AB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62AB" w:rsidRDefault="00A862AB" w:rsidP="00A862AB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A862AB" w:rsidRPr="009A4370" w:rsidRDefault="00A862AB" w:rsidP="00A862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>Характеристики «Статуса объекта», «Целевой функции»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2AB" w:rsidRPr="009A4370" w:rsidRDefault="00A862AB" w:rsidP="00A862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4370">
        <w:rPr>
          <w:rFonts w:ascii="Times New Roman" w:hAnsi="Times New Roman" w:cs="Times New Roman"/>
          <w:b/>
          <w:sz w:val="24"/>
          <w:szCs w:val="24"/>
        </w:rPr>
        <w:t xml:space="preserve">для целей проведения инвентаризации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нефинансовых </w:t>
      </w:r>
      <w:r w:rsidRPr="009A4370">
        <w:rPr>
          <w:rFonts w:ascii="Times New Roman" w:hAnsi="Times New Roman" w:cs="Times New Roman"/>
          <w:b/>
          <w:sz w:val="24"/>
          <w:szCs w:val="24"/>
        </w:rPr>
        <w:t>активов.</w:t>
      </w:r>
    </w:p>
    <w:p w:rsidR="00A862AB" w:rsidRPr="009A4370" w:rsidRDefault="00A862AB" w:rsidP="00A862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62AB" w:rsidRDefault="00A862AB" w:rsidP="00095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4007D3">
        <w:rPr>
          <w:rFonts w:ascii="Times New Roman" w:hAnsi="Times New Roman" w:cs="Times New Roman"/>
          <w:b/>
        </w:rPr>
        <w:t>1. Статус объект</w:t>
      </w:r>
      <w:proofErr w:type="gramStart"/>
      <w:r w:rsidRPr="004007D3">
        <w:rPr>
          <w:rFonts w:ascii="Times New Roman" w:hAnsi="Times New Roman" w:cs="Times New Roman"/>
          <w:b/>
        </w:rPr>
        <w:t>а</w:t>
      </w:r>
      <w:r w:rsidRPr="009A4370">
        <w:rPr>
          <w:rFonts w:ascii="Times New Roman" w:hAnsi="Times New Roman" w:cs="Times New Roman"/>
        </w:rPr>
        <w:t>-</w:t>
      </w:r>
      <w:proofErr w:type="gramEnd"/>
      <w:r w:rsidRPr="009A4370">
        <w:rPr>
          <w:rFonts w:ascii="Times New Roman" w:hAnsi="Times New Roman" w:cs="Times New Roman"/>
        </w:rPr>
        <w:t xml:space="preserve"> состояние объекта </w:t>
      </w:r>
      <w:r>
        <w:rPr>
          <w:rFonts w:ascii="Times New Roman" w:hAnsi="Times New Roman" w:cs="Times New Roman"/>
        </w:rPr>
        <w:t>нефинансовых активов</w:t>
      </w:r>
      <w:r w:rsidRPr="009A4370">
        <w:rPr>
          <w:rFonts w:ascii="Times New Roman" w:hAnsi="Times New Roman" w:cs="Times New Roman"/>
        </w:rPr>
        <w:t xml:space="preserve"> на дату инвентаризации с учетом оценки его технического состояния и (или) степени вовлеченности объектов имущества</w:t>
      </w:r>
      <w:r>
        <w:rPr>
          <w:rFonts w:ascii="Times New Roman" w:hAnsi="Times New Roman" w:cs="Times New Roman"/>
        </w:rPr>
        <w:t xml:space="preserve"> в хозяйственный оборот</w:t>
      </w:r>
      <w:r w:rsidRPr="009A4370">
        <w:rPr>
          <w:rFonts w:ascii="Times New Roman" w:hAnsi="Times New Roman" w:cs="Times New Roman"/>
        </w:rPr>
        <w:t xml:space="preserve">. </w:t>
      </w:r>
    </w:p>
    <w:p w:rsidR="00A862AB" w:rsidRPr="009A4370" w:rsidRDefault="00A862AB" w:rsidP="00095D25">
      <w:pPr>
        <w:jc w:val="both"/>
        <w:rPr>
          <w:rFonts w:ascii="Times New Roman" w:hAnsi="Times New Roman" w:cs="Times New Roman"/>
        </w:rPr>
      </w:pPr>
      <w:r w:rsidRPr="004007D3">
        <w:rPr>
          <w:rFonts w:ascii="Times New Roman" w:hAnsi="Times New Roman" w:cs="Times New Roman"/>
        </w:rPr>
        <w:t xml:space="preserve">Статус объекта определяется инвентаризационной комиссией в ходе осмотра объектов </w:t>
      </w:r>
      <w:r>
        <w:rPr>
          <w:rFonts w:ascii="Times New Roman" w:hAnsi="Times New Roman" w:cs="Times New Roman"/>
        </w:rPr>
        <w:t xml:space="preserve">нефинансовых активов. </w:t>
      </w:r>
      <w:r w:rsidRPr="009A4370">
        <w:rPr>
          <w:rFonts w:ascii="Times New Roman" w:hAnsi="Times New Roman" w:cs="Times New Roman"/>
        </w:rPr>
        <w:t xml:space="preserve">При необходимости </w:t>
      </w:r>
      <w:r>
        <w:rPr>
          <w:rFonts w:ascii="Times New Roman" w:hAnsi="Times New Roman" w:cs="Times New Roman"/>
        </w:rPr>
        <w:t>для целей определения «Статуса объекта» допускается</w:t>
      </w:r>
      <w:r w:rsidRPr="009A4370">
        <w:rPr>
          <w:rFonts w:ascii="Times New Roman" w:hAnsi="Times New Roman" w:cs="Times New Roman"/>
        </w:rPr>
        <w:t xml:space="preserve"> привлечение технических специалистов учреждения имеющих соответствующую квалификацию.</w:t>
      </w:r>
    </w:p>
    <w:p w:rsidR="00A862AB" w:rsidRPr="009A4370" w:rsidRDefault="00A862AB" w:rsidP="00095D25">
      <w:pPr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 xml:space="preserve">           Статус объекта приводится в соответствующей графе Инвентаризационной описи по объектам нефинансовых активов (форма № 0504087) текстом,</w:t>
      </w:r>
      <w:r w:rsidR="00095D25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ри этом в графе </w:t>
      </w:r>
      <w:r w:rsidRPr="00744B47">
        <w:rPr>
          <w:rFonts w:ascii="Times New Roman" w:hAnsi="Times New Roman" w:cs="Times New Roman"/>
        </w:rPr>
        <w:t>«Примечание» Инвентаризационной описи по объектам нефинансовых активов (форма № 0504087)</w:t>
      </w:r>
      <w:r>
        <w:rPr>
          <w:rFonts w:ascii="Times New Roman" w:hAnsi="Times New Roman" w:cs="Times New Roman"/>
        </w:rPr>
        <w:t xml:space="preserve"> приводится информация об изменении статуса объекта за отчетный период.</w:t>
      </w:r>
    </w:p>
    <w:p w:rsidR="00A862AB" w:rsidRPr="009A4370" w:rsidRDefault="00A862AB" w:rsidP="00095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4007D3">
        <w:rPr>
          <w:rFonts w:ascii="Times New Roman" w:hAnsi="Times New Roman" w:cs="Times New Roman"/>
          <w:b/>
        </w:rPr>
        <w:t>2. Целевая функция</w:t>
      </w:r>
      <w:r w:rsidRPr="009A4370">
        <w:rPr>
          <w:rFonts w:ascii="Times New Roman" w:hAnsi="Times New Roman" w:cs="Times New Roman"/>
        </w:rPr>
        <w:t xml:space="preserve"> – информация о возможных способах вовлечения объектов инвентаризации в хозяйственный оборот, использования в целях получения экономической выгоды (извлечения полезного потенциала) либо при отсутствии возможности – о способах выбытия объекта.</w:t>
      </w:r>
    </w:p>
    <w:p w:rsidR="00A862AB" w:rsidRPr="009A4370" w:rsidRDefault="00A862AB" w:rsidP="00095D25">
      <w:pPr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>Целевая функция объекта определяется инвентаризационной комиссией в ходе осмотра объектов имущества. При необходимости возможно привлечение технических специалистов учреждения имеющих соответствующую квалификацию.</w:t>
      </w:r>
    </w:p>
    <w:p w:rsidR="00A862AB" w:rsidRPr="009A4370" w:rsidRDefault="00A862AB" w:rsidP="00095D25">
      <w:pPr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 xml:space="preserve">          Целевая функция приводится в соответствующей графе Инвентаризационной описи по объектам нефинансовых активов (форма № 0504087) текстом,</w:t>
      </w:r>
      <w:r w:rsidR="00095D25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ри этом в графе </w:t>
      </w:r>
      <w:r w:rsidRPr="00744B47">
        <w:rPr>
          <w:rFonts w:ascii="Times New Roman" w:hAnsi="Times New Roman" w:cs="Times New Roman"/>
        </w:rPr>
        <w:t>«Примечание» Инвентаризационной описи по объектам нефинансовых активов (форма № 0504087)</w:t>
      </w:r>
      <w:r>
        <w:rPr>
          <w:rFonts w:ascii="Times New Roman" w:hAnsi="Times New Roman" w:cs="Times New Roman"/>
        </w:rPr>
        <w:t xml:space="preserve"> приводится информация об изменении целевой функции объекта за отчетный период.</w:t>
      </w:r>
    </w:p>
    <w:p w:rsidR="00A862AB" w:rsidRPr="009557B8" w:rsidRDefault="00A862AB" w:rsidP="00095D25">
      <w:pPr>
        <w:jc w:val="both"/>
        <w:rPr>
          <w:rFonts w:ascii="Times New Roman" w:hAnsi="Times New Roman" w:cs="Times New Roman"/>
          <w:b/>
        </w:rPr>
      </w:pPr>
      <w:r w:rsidRPr="003D3033">
        <w:rPr>
          <w:rFonts w:ascii="Times New Roman" w:hAnsi="Times New Roman" w:cs="Times New Roman"/>
          <w:b/>
        </w:rPr>
        <w:t xml:space="preserve">           3. </w:t>
      </w:r>
      <w:r w:rsidRPr="009557B8">
        <w:rPr>
          <w:rFonts w:ascii="Times New Roman" w:hAnsi="Times New Roman" w:cs="Times New Roman"/>
          <w:b/>
        </w:rPr>
        <w:t>Характеристики «Статуса объекта», «Целевой функции» применяемые в отношении объектов основных средств.</w:t>
      </w:r>
    </w:p>
    <w:p w:rsidR="00A862AB" w:rsidRPr="009A4370" w:rsidRDefault="00A862AB" w:rsidP="00095D25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</w:rPr>
      </w:pPr>
      <w:r w:rsidRPr="009A4370">
        <w:rPr>
          <w:rFonts w:ascii="Times New Roman" w:hAnsi="Times New Roman" w:cs="Times New Roman"/>
          <w:b/>
        </w:rPr>
        <w:t>Варианты статуса объекта</w:t>
      </w:r>
      <w:r>
        <w:rPr>
          <w:rFonts w:ascii="Times New Roman" w:hAnsi="Times New Roman" w:cs="Times New Roman"/>
          <w:b/>
        </w:rPr>
        <w:t xml:space="preserve"> основных средств</w:t>
      </w:r>
      <w:r w:rsidRPr="009A4370">
        <w:rPr>
          <w:rFonts w:ascii="Times New Roman" w:hAnsi="Times New Roman" w:cs="Times New Roman"/>
          <w:b/>
        </w:rPr>
        <w:t>:</w:t>
      </w:r>
    </w:p>
    <w:p w:rsidR="00A862AB" w:rsidRPr="009A4370" w:rsidRDefault="00A862AB" w:rsidP="00095D25">
      <w:pPr>
        <w:shd w:val="clear" w:color="auto" w:fill="F2F2F2" w:themeFill="background1" w:themeFillShade="F2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>1 – в эксплуатации,</w:t>
      </w:r>
    </w:p>
    <w:p w:rsidR="00A862AB" w:rsidRPr="009A4370" w:rsidRDefault="00A862AB" w:rsidP="00095D25">
      <w:pPr>
        <w:shd w:val="clear" w:color="auto" w:fill="F2F2F2" w:themeFill="background1" w:themeFillShade="F2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>2 – не соответствует требованиям эксплуатации,</w:t>
      </w:r>
    </w:p>
    <w:p w:rsidR="00A862AB" w:rsidRPr="009A4370" w:rsidRDefault="00A862AB" w:rsidP="00095D25">
      <w:pPr>
        <w:shd w:val="clear" w:color="auto" w:fill="F2F2F2" w:themeFill="background1" w:themeFillShade="F2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>3 – требуется ремонт,</w:t>
      </w:r>
    </w:p>
    <w:p w:rsidR="00A862AB" w:rsidRPr="009A4370" w:rsidRDefault="00A862AB" w:rsidP="00095D25">
      <w:pPr>
        <w:shd w:val="clear" w:color="auto" w:fill="F2F2F2" w:themeFill="background1" w:themeFillShade="F2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>4 – находится на консервации,</w:t>
      </w:r>
    </w:p>
    <w:p w:rsidR="00A862AB" w:rsidRDefault="00A862AB" w:rsidP="00095D25">
      <w:pPr>
        <w:shd w:val="clear" w:color="auto" w:fill="F2F2F2" w:themeFill="background1" w:themeFillShade="F2"/>
        <w:jc w:val="both"/>
        <w:rPr>
          <w:rFonts w:ascii="Times New Roman" w:hAnsi="Times New Roman" w:cs="Times New Roman"/>
        </w:rPr>
      </w:pPr>
      <w:r w:rsidRPr="009A4370">
        <w:rPr>
          <w:rFonts w:ascii="Times New Roman" w:hAnsi="Times New Roman" w:cs="Times New Roman"/>
        </w:rPr>
        <w:t xml:space="preserve">5 – не </w:t>
      </w:r>
      <w:proofErr w:type="gramStart"/>
      <w:r w:rsidRPr="009A4370">
        <w:rPr>
          <w:rFonts w:ascii="Times New Roman" w:hAnsi="Times New Roman" w:cs="Times New Roman"/>
        </w:rPr>
        <w:t>введен</w:t>
      </w:r>
      <w:proofErr w:type="gramEnd"/>
      <w:r w:rsidRPr="009A4370">
        <w:rPr>
          <w:rFonts w:ascii="Times New Roman" w:hAnsi="Times New Roman" w:cs="Times New Roman"/>
        </w:rPr>
        <w:t xml:space="preserve"> в эксплуатацию.</w:t>
      </w:r>
    </w:p>
    <w:p w:rsidR="00095D25" w:rsidRPr="009A4370" w:rsidRDefault="00095D25" w:rsidP="00095D25">
      <w:pPr>
        <w:shd w:val="clear" w:color="auto" w:fill="F2F2F2" w:themeFill="background1" w:themeFillShade="F2"/>
        <w:jc w:val="both"/>
        <w:rPr>
          <w:rFonts w:ascii="Times New Roman" w:hAnsi="Times New Roman" w:cs="Times New Roman"/>
        </w:rPr>
      </w:pPr>
    </w:p>
    <w:p w:rsidR="00A862AB" w:rsidRDefault="00A862AB" w:rsidP="00095D25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</w:rPr>
      </w:pPr>
      <w:r w:rsidRPr="009A4370">
        <w:rPr>
          <w:rFonts w:ascii="Times New Roman" w:hAnsi="Times New Roman" w:cs="Times New Roman"/>
          <w:b/>
        </w:rPr>
        <w:lastRenderedPageBreak/>
        <w:t>Варианты целевой функции объекта</w:t>
      </w:r>
      <w:r w:rsidRPr="009F6BB7">
        <w:t xml:space="preserve"> </w:t>
      </w:r>
      <w:r w:rsidRPr="009F6BB7">
        <w:rPr>
          <w:rFonts w:ascii="Times New Roman" w:hAnsi="Times New Roman" w:cs="Times New Roman"/>
          <w:b/>
        </w:rPr>
        <w:t>основных средств</w:t>
      </w:r>
      <w:r w:rsidRPr="009A4370">
        <w:rPr>
          <w:rFonts w:ascii="Times New Roman" w:hAnsi="Times New Roman" w:cs="Times New Roman"/>
          <w:b/>
        </w:rPr>
        <w:t>:</w:t>
      </w:r>
    </w:p>
    <w:p w:rsidR="00A862AB" w:rsidRPr="009557B8" w:rsidRDefault="00A862AB" w:rsidP="00095D25">
      <w:pPr>
        <w:shd w:val="clear" w:color="auto" w:fill="F2F2F2" w:themeFill="background1" w:themeFillShade="F2"/>
        <w:jc w:val="both"/>
        <w:rPr>
          <w:rFonts w:ascii="Times New Roman" w:hAnsi="Times New Roman" w:cs="Times New Roman"/>
        </w:rPr>
      </w:pPr>
      <w:r w:rsidRPr="009557B8">
        <w:rPr>
          <w:rFonts w:ascii="Times New Roman" w:hAnsi="Times New Roman" w:cs="Times New Roman"/>
        </w:rPr>
        <w:t>1-дальнейшая эксплуатация,</w:t>
      </w:r>
    </w:p>
    <w:p w:rsidR="00A862AB" w:rsidRPr="009A4370" w:rsidRDefault="00A862AB" w:rsidP="00095D25">
      <w:pPr>
        <w:shd w:val="clear" w:color="auto" w:fill="F2F2F2" w:themeFill="background1" w:themeFillShade="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A4370">
        <w:rPr>
          <w:rFonts w:ascii="Times New Roman" w:hAnsi="Times New Roman" w:cs="Times New Roman"/>
        </w:rPr>
        <w:t xml:space="preserve"> – ввод в эксплуатацию,</w:t>
      </w:r>
    </w:p>
    <w:p w:rsidR="00A862AB" w:rsidRPr="009A4370" w:rsidRDefault="00A862AB" w:rsidP="00095D25">
      <w:pPr>
        <w:shd w:val="clear" w:color="auto" w:fill="F2F2F2" w:themeFill="background1" w:themeFillShade="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A4370">
        <w:rPr>
          <w:rFonts w:ascii="Times New Roman" w:hAnsi="Times New Roman" w:cs="Times New Roman"/>
        </w:rPr>
        <w:t xml:space="preserve"> – консервация объекта,</w:t>
      </w:r>
    </w:p>
    <w:p w:rsidR="00A862AB" w:rsidRPr="009A4370" w:rsidRDefault="00A862AB" w:rsidP="00095D25">
      <w:pPr>
        <w:shd w:val="clear" w:color="auto" w:fill="F2F2F2" w:themeFill="background1" w:themeFillShade="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A4370">
        <w:rPr>
          <w:rFonts w:ascii="Times New Roman" w:hAnsi="Times New Roman" w:cs="Times New Roman"/>
        </w:rPr>
        <w:t xml:space="preserve"> –ремонт,</w:t>
      </w:r>
    </w:p>
    <w:p w:rsidR="00A862AB" w:rsidRPr="009A4370" w:rsidRDefault="00A862AB" w:rsidP="00095D25">
      <w:pPr>
        <w:shd w:val="clear" w:color="auto" w:fill="F2F2F2" w:themeFill="background1" w:themeFillShade="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A4370">
        <w:rPr>
          <w:rFonts w:ascii="Times New Roman" w:hAnsi="Times New Roman" w:cs="Times New Roman"/>
        </w:rPr>
        <w:t xml:space="preserve"> – дооснащение (дооборудование),</w:t>
      </w:r>
    </w:p>
    <w:p w:rsidR="00A862AB" w:rsidRPr="009A4370" w:rsidRDefault="00A862AB" w:rsidP="00095D25">
      <w:pPr>
        <w:shd w:val="clear" w:color="auto" w:fill="F2F2F2" w:themeFill="background1" w:themeFillShade="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A4370">
        <w:rPr>
          <w:rFonts w:ascii="Times New Roman" w:hAnsi="Times New Roman" w:cs="Times New Roman"/>
        </w:rPr>
        <w:t xml:space="preserve"> – списание,</w:t>
      </w:r>
    </w:p>
    <w:p w:rsidR="00A862AB" w:rsidRPr="009A4370" w:rsidRDefault="00A862AB" w:rsidP="00095D25">
      <w:pPr>
        <w:shd w:val="clear" w:color="auto" w:fill="F2F2F2" w:themeFill="background1" w:themeFillShade="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A4370">
        <w:rPr>
          <w:rFonts w:ascii="Times New Roman" w:hAnsi="Times New Roman" w:cs="Times New Roman"/>
        </w:rPr>
        <w:t xml:space="preserve"> – утилизация,</w:t>
      </w:r>
    </w:p>
    <w:p w:rsidR="00A862AB" w:rsidRDefault="00A862AB" w:rsidP="00095D25">
      <w:pPr>
        <w:shd w:val="clear" w:color="auto" w:fill="F2F2F2" w:themeFill="background1" w:themeFillShade="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r w:rsidRPr="009A4370">
        <w:rPr>
          <w:rFonts w:ascii="Times New Roman" w:hAnsi="Times New Roman" w:cs="Times New Roman"/>
        </w:rPr>
        <w:t>- перевод в иную категорию имущества</w:t>
      </w:r>
      <w:r>
        <w:rPr>
          <w:rFonts w:ascii="Times New Roman" w:hAnsi="Times New Roman" w:cs="Times New Roman"/>
        </w:rPr>
        <w:t>,</w:t>
      </w:r>
    </w:p>
    <w:p w:rsidR="00A862AB" w:rsidRPr="009A4370" w:rsidRDefault="00A862AB" w:rsidP="00095D25">
      <w:pPr>
        <w:shd w:val="clear" w:color="auto" w:fill="F2F2F2" w:themeFill="background1" w:themeFillShade="F2"/>
        <w:jc w:val="both"/>
        <w:rPr>
          <w:rFonts w:ascii="Times New Roman" w:hAnsi="Times New Roman" w:cs="Times New Roman"/>
        </w:rPr>
      </w:pPr>
    </w:p>
    <w:p w:rsidR="00A862AB" w:rsidRPr="009557B8" w:rsidRDefault="00A862AB" w:rsidP="00095D25">
      <w:pPr>
        <w:jc w:val="both"/>
        <w:rPr>
          <w:rFonts w:ascii="Times New Roman" w:hAnsi="Times New Roman" w:cs="Times New Roman"/>
        </w:rPr>
      </w:pPr>
      <w:r w:rsidRPr="009557B8">
        <w:rPr>
          <w:rFonts w:ascii="Times New Roman" w:hAnsi="Times New Roman" w:cs="Times New Roman"/>
        </w:rPr>
        <w:t>Активы, не соответствующие условиям признания актива</w:t>
      </w:r>
      <w:r>
        <w:rPr>
          <w:rFonts w:ascii="Times New Roman" w:hAnsi="Times New Roman" w:cs="Times New Roman"/>
        </w:rPr>
        <w:t xml:space="preserve"> в качестве основных средств</w:t>
      </w:r>
      <w:r w:rsidRPr="009557B8">
        <w:rPr>
          <w:rFonts w:ascii="Times New Roman" w:hAnsi="Times New Roman" w:cs="Times New Roman"/>
        </w:rPr>
        <w:t>, в том числе активы, предназначенные для отчуждения не в пользу государственного сектора,</w:t>
      </w:r>
      <w:r>
        <w:rPr>
          <w:rFonts w:ascii="Times New Roman" w:hAnsi="Times New Roman" w:cs="Times New Roman"/>
        </w:rPr>
        <w:t xml:space="preserve"> определяются согласно данным Таблицы 1.</w:t>
      </w:r>
    </w:p>
    <w:p w:rsidR="00A862AB" w:rsidRPr="009557B8" w:rsidRDefault="00A862AB" w:rsidP="00A862AB">
      <w:pPr>
        <w:jc w:val="right"/>
        <w:rPr>
          <w:rFonts w:ascii="Times New Roman" w:hAnsi="Times New Roman" w:cs="Times New Roman"/>
          <w:b/>
          <w:i/>
          <w:sz w:val="20"/>
        </w:rPr>
      </w:pPr>
      <w:r w:rsidRPr="009557B8">
        <w:rPr>
          <w:rFonts w:ascii="Times New Roman" w:hAnsi="Times New Roman" w:cs="Times New Roman"/>
          <w:b/>
          <w:i/>
          <w:sz w:val="20"/>
        </w:rPr>
        <w:t>Таблица 1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979"/>
        <w:gridCol w:w="1844"/>
        <w:gridCol w:w="2268"/>
        <w:gridCol w:w="3543"/>
      </w:tblGrid>
      <w:tr w:rsidR="00A862AB" w:rsidRPr="009A4370" w:rsidTr="004A46E7">
        <w:tc>
          <w:tcPr>
            <w:tcW w:w="1979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 основных средств</w:t>
            </w:r>
          </w:p>
        </w:tc>
        <w:tc>
          <w:tcPr>
            <w:tcW w:w="1844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функция объекта основных средств</w:t>
            </w:r>
          </w:p>
        </w:tc>
        <w:tc>
          <w:tcPr>
            <w:tcW w:w="2268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Соответствует 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b/>
                <w:sz w:val="20"/>
                <w:szCs w:val="20"/>
              </w:rPr>
              <w:t>(не соответствует) условиям признания данного актива в качестве объекта основных средств</w:t>
            </w:r>
          </w:p>
        </w:tc>
        <w:tc>
          <w:tcPr>
            <w:tcW w:w="3543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соответствует условиям признания актива в качестве объекта основных средств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62AB" w:rsidRPr="009A4370" w:rsidTr="004A46E7">
        <w:tc>
          <w:tcPr>
            <w:tcW w:w="1979" w:type="dxa"/>
          </w:tcPr>
          <w:p w:rsidR="00A862AB" w:rsidRPr="00F32927" w:rsidRDefault="00A862AB" w:rsidP="004A4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A862AB" w:rsidRPr="00F32927" w:rsidRDefault="00A862AB" w:rsidP="004A4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862AB" w:rsidRPr="00F32927" w:rsidRDefault="00A862AB" w:rsidP="004A4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A862AB" w:rsidRPr="00F32927" w:rsidRDefault="00A862AB" w:rsidP="004A4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A862AB" w:rsidRPr="009A4370" w:rsidTr="004A46E7">
        <w:tc>
          <w:tcPr>
            <w:tcW w:w="1979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 xml:space="preserve"> в эксплуатации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дальнейшая эксплуатация</w:t>
            </w:r>
          </w:p>
        </w:tc>
        <w:tc>
          <w:tcPr>
            <w:tcW w:w="2268" w:type="dxa"/>
          </w:tcPr>
          <w:p w:rsidR="00A862AB" w:rsidRPr="00F32927" w:rsidRDefault="00A862AB" w:rsidP="004A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43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НЕ ПОДЛЕЖИТ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A862AB" w:rsidRPr="009A4370" w:rsidTr="004A46E7">
        <w:tc>
          <w:tcPr>
            <w:tcW w:w="1979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не соответствует требованиям эксплуатации</w:t>
            </w:r>
          </w:p>
        </w:tc>
        <w:tc>
          <w:tcPr>
            <w:tcW w:w="1844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 xml:space="preserve">  списание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3543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ПОДЛЕЖИТ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A862AB" w:rsidRPr="009A4370" w:rsidTr="004A46E7">
        <w:tc>
          <w:tcPr>
            <w:tcW w:w="1979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не соответствует требованиям эксплуатации</w:t>
            </w:r>
          </w:p>
        </w:tc>
        <w:tc>
          <w:tcPr>
            <w:tcW w:w="1844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 xml:space="preserve"> утилизация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3543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ПОДЛЕЖИТ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A862AB" w:rsidRPr="009A4370" w:rsidTr="004A46E7">
        <w:tc>
          <w:tcPr>
            <w:tcW w:w="1979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требуется ремонт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62AB" w:rsidRPr="00F32927" w:rsidRDefault="00A862AB" w:rsidP="004A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43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НЕ ПОДЛЕЖИТ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A862AB" w:rsidRPr="009A4370" w:rsidTr="004A46E7">
        <w:tc>
          <w:tcPr>
            <w:tcW w:w="1979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1844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дооснащение (дооборудование)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62AB" w:rsidRPr="00F32927" w:rsidRDefault="00A862AB" w:rsidP="004A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43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НЕ ПОДЛЕЖИТ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A862AB" w:rsidRPr="009A4370" w:rsidTr="004A46E7">
        <w:tc>
          <w:tcPr>
            <w:tcW w:w="1979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1844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списание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3543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ПОДЛЕЖИТ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A862AB" w:rsidRPr="009A4370" w:rsidTr="004A46E7">
        <w:tc>
          <w:tcPr>
            <w:tcW w:w="1979" w:type="dxa"/>
          </w:tcPr>
          <w:p w:rsidR="00A862AB" w:rsidRPr="00F32927" w:rsidRDefault="00A862AB" w:rsidP="004A46E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находится на консервации</w:t>
            </w:r>
          </w:p>
          <w:p w:rsidR="00A862AB" w:rsidRPr="00F32927" w:rsidRDefault="00A862AB" w:rsidP="004A46E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862AB" w:rsidRPr="00F32927" w:rsidRDefault="00A862AB" w:rsidP="004A46E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</w:p>
          <w:p w:rsidR="00A862AB" w:rsidRPr="00F32927" w:rsidRDefault="00A862AB" w:rsidP="004A46E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62AB" w:rsidRPr="00F32927" w:rsidRDefault="00A862AB" w:rsidP="004A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43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НЕ ПОДЛЕЖИТ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A862AB" w:rsidRPr="009A4370" w:rsidTr="004A46E7">
        <w:tc>
          <w:tcPr>
            <w:tcW w:w="1979" w:type="dxa"/>
          </w:tcPr>
          <w:p w:rsidR="00A862AB" w:rsidRPr="00F32927" w:rsidRDefault="00A862AB" w:rsidP="004A46E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F32927">
              <w:rPr>
                <w:rFonts w:ascii="Times New Roman" w:hAnsi="Times New Roman" w:cs="Times New Roman"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1844" w:type="dxa"/>
          </w:tcPr>
          <w:p w:rsidR="00A862AB" w:rsidRPr="00F32927" w:rsidRDefault="00A862AB" w:rsidP="004A46E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</w:p>
          <w:p w:rsidR="00A862AB" w:rsidRPr="00F32927" w:rsidRDefault="00A862AB" w:rsidP="004A46E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62AB" w:rsidRPr="00F32927" w:rsidRDefault="00A862AB" w:rsidP="004A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43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НЕ ПОДЛЕЖИТ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 xml:space="preserve">отражению в графах 17,18 Инвентаризационной описи по объектам нефинансовых активов </w:t>
            </w:r>
            <w:r w:rsidRPr="00F32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(ф.0504087).</w:t>
            </w:r>
          </w:p>
        </w:tc>
      </w:tr>
      <w:tr w:rsidR="00A862AB" w:rsidRPr="009A4370" w:rsidTr="004A46E7">
        <w:tc>
          <w:tcPr>
            <w:tcW w:w="1979" w:type="dxa"/>
          </w:tcPr>
          <w:p w:rsidR="00A862AB" w:rsidRPr="00F32927" w:rsidRDefault="00A862AB" w:rsidP="004A46E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proofErr w:type="gramStart"/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F32927">
              <w:rPr>
                <w:rFonts w:ascii="Times New Roman" w:hAnsi="Times New Roman" w:cs="Times New Roman"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1844" w:type="dxa"/>
          </w:tcPr>
          <w:p w:rsidR="00A862AB" w:rsidRPr="00F32927" w:rsidRDefault="00A862AB" w:rsidP="004A46E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перевод в иную категорию активов</w:t>
            </w:r>
          </w:p>
        </w:tc>
        <w:tc>
          <w:tcPr>
            <w:tcW w:w="2268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3543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ПОДЛЕЖИТ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</w:tbl>
    <w:p w:rsidR="00A862AB" w:rsidRDefault="00A862AB" w:rsidP="00A862A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862AB" w:rsidRDefault="00A862AB" w:rsidP="00095D25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sz w:val="20"/>
        </w:rPr>
      </w:pPr>
      <w:r w:rsidRPr="009B4AA3">
        <w:rPr>
          <w:rFonts w:ascii="Times New Roman" w:hAnsi="Times New Roman" w:cs="Times New Roman"/>
          <w:b/>
          <w:sz w:val="20"/>
        </w:rPr>
        <w:t>ПРИМЕЧАНИЕ:</w:t>
      </w:r>
    </w:p>
    <w:p w:rsidR="00A862AB" w:rsidRPr="009B4AA3" w:rsidRDefault="00A862AB" w:rsidP="00095D25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i/>
          <w:sz w:val="20"/>
        </w:rPr>
      </w:pPr>
      <w:r w:rsidRPr="009B4AA3">
        <w:rPr>
          <w:rFonts w:ascii="Times New Roman" w:hAnsi="Times New Roman" w:cs="Times New Roman"/>
          <w:i/>
          <w:sz w:val="20"/>
        </w:rPr>
        <w:t>1.Графы 17,18 Инвентаризационной описи по объектам нефинансовых активов (ф.0504087) – «Не соответствует условиям актива», «Количество», «Сумма».</w:t>
      </w:r>
    </w:p>
    <w:p w:rsidR="00A862AB" w:rsidRPr="009A4370" w:rsidRDefault="00A862AB" w:rsidP="00095D25">
      <w:pPr>
        <w:pStyle w:val="ConsPlusNormal"/>
        <w:shd w:val="clear" w:color="auto" w:fill="FFFFFF" w:themeFill="background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62AB" w:rsidRPr="00AF4EE4" w:rsidRDefault="00F32927" w:rsidP="00095D25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4</w:t>
      </w:r>
      <w:r w:rsidR="00A862AB" w:rsidRPr="009A4370">
        <w:rPr>
          <w:rFonts w:ascii="Times New Roman" w:hAnsi="Times New Roman" w:cs="Times New Roman"/>
          <w:b/>
        </w:rPr>
        <w:t>.</w:t>
      </w:r>
      <w:r w:rsidR="00A862AB" w:rsidRPr="009A4370">
        <w:rPr>
          <w:rFonts w:ascii="Times New Roman" w:hAnsi="Times New Roman" w:cs="Times New Roman"/>
        </w:rPr>
        <w:t xml:space="preserve"> </w:t>
      </w:r>
      <w:r w:rsidR="00A862AB" w:rsidRPr="00F32927">
        <w:rPr>
          <w:rFonts w:ascii="Times New Roman" w:hAnsi="Times New Roman" w:cs="Times New Roman"/>
          <w:b/>
        </w:rPr>
        <w:t xml:space="preserve">Характеристики «Статуса объекта», «Целевой функции» применяемые в отношении вложений в объекты </w:t>
      </w:r>
      <w:r w:rsidR="00A862AB" w:rsidRPr="00F32927">
        <w:rPr>
          <w:rFonts w:ascii="Times New Roman" w:hAnsi="Times New Roman" w:cs="Times New Roman"/>
          <w:b/>
          <w:color w:val="000000" w:themeColor="text1"/>
        </w:rPr>
        <w:t xml:space="preserve">недвижимости </w:t>
      </w:r>
      <w:r w:rsidR="00095D25" w:rsidRPr="00F32927">
        <w:rPr>
          <w:rFonts w:ascii="Times New Roman" w:hAnsi="Times New Roman" w:cs="Times New Roman"/>
          <w:b/>
          <w:color w:val="000000" w:themeColor="text1"/>
        </w:rPr>
        <w:t>устанавливаются МФ РФ:</w:t>
      </w:r>
      <w:r w:rsidR="00095D25">
        <w:rPr>
          <w:rFonts w:ascii="Times New Roman" w:hAnsi="Times New Roman" w:cs="Times New Roman"/>
          <w:color w:val="000000" w:themeColor="text1"/>
        </w:rPr>
        <w:t xml:space="preserve"> </w:t>
      </w:r>
      <w:r w:rsidR="00A862AB">
        <w:rPr>
          <w:rFonts w:ascii="Times New Roman" w:hAnsi="Times New Roman" w:cs="Times New Roman"/>
          <w:i/>
          <w:sz w:val="20"/>
          <w:szCs w:val="20"/>
        </w:rPr>
        <w:t xml:space="preserve"> П.75 </w:t>
      </w:r>
      <w:r w:rsidR="00A862AB" w:rsidRPr="00DC10FB">
        <w:rPr>
          <w:rFonts w:ascii="Times New Roman" w:hAnsi="Times New Roman" w:cs="Times New Roman"/>
          <w:i/>
          <w:sz w:val="20"/>
          <w:szCs w:val="20"/>
        </w:rPr>
        <w:t>Приказ</w:t>
      </w:r>
      <w:r w:rsidR="00A862AB">
        <w:rPr>
          <w:rFonts w:ascii="Times New Roman" w:hAnsi="Times New Roman" w:cs="Times New Roman"/>
          <w:i/>
          <w:sz w:val="20"/>
          <w:szCs w:val="20"/>
        </w:rPr>
        <w:t>а</w:t>
      </w:r>
      <w:r w:rsidR="00A862AB" w:rsidRPr="00DC10FB">
        <w:rPr>
          <w:rFonts w:ascii="Times New Roman" w:hAnsi="Times New Roman" w:cs="Times New Roman"/>
          <w:i/>
          <w:sz w:val="20"/>
          <w:szCs w:val="20"/>
        </w:rPr>
        <w:t xml:space="preserve"> Минфина России от 25.03.2011 N 33н</w:t>
      </w:r>
      <w:r w:rsidR="00A862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62AB" w:rsidRPr="00DC10FB">
        <w:rPr>
          <w:rFonts w:ascii="Times New Roman" w:hAnsi="Times New Roman" w:cs="Times New Roman"/>
          <w:i/>
          <w:sz w:val="20"/>
          <w:szCs w:val="20"/>
        </w:rPr>
        <w:t xml:space="preserve">"Об утверждении Инструкции о порядке составления, представления годовой, </w:t>
      </w:r>
      <w:r w:rsidR="00A862AB" w:rsidRPr="00AF4EE4">
        <w:rPr>
          <w:rFonts w:ascii="Times New Roman" w:hAnsi="Times New Roman" w:cs="Times New Roman"/>
          <w:i/>
          <w:sz w:val="20"/>
          <w:szCs w:val="20"/>
        </w:rPr>
        <w:t>квартальной бухгалтерской отчетности государственных (муниципальных) бюджетных и автономных учреждений".</w:t>
      </w:r>
    </w:p>
    <w:p w:rsidR="00A862AB" w:rsidRPr="00AF4EE4" w:rsidRDefault="00A862AB" w:rsidP="00095D2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62AB" w:rsidRPr="00F32927" w:rsidRDefault="00F32927" w:rsidP="00095D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862AB" w:rsidRPr="00AF4EE4">
        <w:rPr>
          <w:rFonts w:ascii="Times New Roman" w:hAnsi="Times New Roman" w:cs="Times New Roman"/>
          <w:b/>
        </w:rPr>
        <w:t>.</w:t>
      </w:r>
      <w:r w:rsidR="00A862AB" w:rsidRPr="00AF4EE4">
        <w:rPr>
          <w:rFonts w:ascii="Times New Roman" w:hAnsi="Times New Roman" w:cs="Times New Roman"/>
        </w:rPr>
        <w:t xml:space="preserve"> </w:t>
      </w:r>
      <w:r w:rsidR="00A862AB" w:rsidRPr="00F32927">
        <w:rPr>
          <w:rFonts w:ascii="Times New Roman" w:hAnsi="Times New Roman" w:cs="Times New Roman"/>
          <w:b/>
        </w:rPr>
        <w:t>Характеристики «Статуса объекта», «Целевой функции» применяемые в отношении материальных запасов.</w:t>
      </w:r>
    </w:p>
    <w:p w:rsidR="00AF4EE4" w:rsidRPr="00AF4EE4" w:rsidRDefault="00AF4EE4" w:rsidP="00AF4EE4">
      <w:pPr>
        <w:shd w:val="clear" w:color="auto" w:fill="DDD9C3" w:themeFill="background2" w:themeFillShade="E6"/>
        <w:jc w:val="both"/>
        <w:rPr>
          <w:rFonts w:ascii="Times New Roman" w:hAnsi="Times New Roman" w:cs="Times New Roman"/>
          <w:b/>
        </w:rPr>
      </w:pPr>
      <w:r w:rsidRPr="00AF4EE4">
        <w:rPr>
          <w:rFonts w:ascii="Times New Roman" w:hAnsi="Times New Roman" w:cs="Times New Roman"/>
          <w:b/>
        </w:rPr>
        <w:t>Варианты статуса объекта</w:t>
      </w:r>
      <w:r w:rsidRPr="00AF4EE4">
        <w:t xml:space="preserve"> </w:t>
      </w:r>
      <w:r w:rsidRPr="00AF4EE4">
        <w:rPr>
          <w:rFonts w:ascii="Times New Roman" w:hAnsi="Times New Roman" w:cs="Times New Roman"/>
          <w:b/>
        </w:rPr>
        <w:t>материальных запасов</w:t>
      </w:r>
      <w:proofErr w:type="gramStart"/>
      <w:r w:rsidRPr="00AF4EE4">
        <w:rPr>
          <w:rFonts w:ascii="Times New Roman" w:hAnsi="Times New Roman" w:cs="Times New Roman"/>
          <w:b/>
        </w:rPr>
        <w:t>.:</w:t>
      </w:r>
      <w:proofErr w:type="gramEnd"/>
    </w:p>
    <w:p w:rsidR="00AF4EE4" w:rsidRPr="00AF4EE4" w:rsidRDefault="00AF4EE4" w:rsidP="00AF4EE4">
      <w:pPr>
        <w:shd w:val="clear" w:color="auto" w:fill="DDD9C3" w:themeFill="background2" w:themeFillShade="E6"/>
        <w:jc w:val="both"/>
        <w:rPr>
          <w:rFonts w:ascii="Times New Roman" w:hAnsi="Times New Roman" w:cs="Times New Roman"/>
        </w:rPr>
      </w:pPr>
      <w:r w:rsidRPr="00AF4EE4">
        <w:rPr>
          <w:rFonts w:ascii="Times New Roman" w:hAnsi="Times New Roman" w:cs="Times New Roman"/>
        </w:rPr>
        <w:t>1 – в запасе (для использования);</w:t>
      </w:r>
    </w:p>
    <w:p w:rsidR="00AF4EE4" w:rsidRPr="00AF4EE4" w:rsidRDefault="00AF4EE4" w:rsidP="00AF4EE4">
      <w:pPr>
        <w:shd w:val="clear" w:color="auto" w:fill="DDD9C3" w:themeFill="background2" w:themeFillShade="E6"/>
        <w:jc w:val="both"/>
        <w:rPr>
          <w:rFonts w:ascii="Times New Roman" w:hAnsi="Times New Roman" w:cs="Times New Roman"/>
        </w:rPr>
      </w:pPr>
      <w:r w:rsidRPr="00AF4EE4">
        <w:rPr>
          <w:rFonts w:ascii="Times New Roman" w:hAnsi="Times New Roman" w:cs="Times New Roman"/>
        </w:rPr>
        <w:t>2 – в запасе (на хранении);</w:t>
      </w:r>
    </w:p>
    <w:p w:rsidR="00AF4EE4" w:rsidRPr="00AF4EE4" w:rsidRDefault="00AF4EE4" w:rsidP="00AF4EE4">
      <w:pPr>
        <w:shd w:val="clear" w:color="auto" w:fill="DDD9C3" w:themeFill="background2" w:themeFillShade="E6"/>
        <w:jc w:val="both"/>
        <w:rPr>
          <w:rFonts w:ascii="Times New Roman" w:hAnsi="Times New Roman" w:cs="Times New Roman"/>
        </w:rPr>
      </w:pPr>
      <w:r w:rsidRPr="00AF4EE4">
        <w:rPr>
          <w:rFonts w:ascii="Times New Roman" w:hAnsi="Times New Roman" w:cs="Times New Roman"/>
        </w:rPr>
        <w:t>3 – ненадлежащего качества;</w:t>
      </w:r>
    </w:p>
    <w:p w:rsidR="00AF4EE4" w:rsidRPr="00AF4EE4" w:rsidRDefault="00AF4EE4" w:rsidP="00AF4EE4">
      <w:pPr>
        <w:shd w:val="clear" w:color="auto" w:fill="DDD9C3" w:themeFill="background2" w:themeFillShade="E6"/>
        <w:jc w:val="both"/>
        <w:rPr>
          <w:rFonts w:ascii="Times New Roman" w:hAnsi="Times New Roman" w:cs="Times New Roman"/>
        </w:rPr>
      </w:pPr>
      <w:r w:rsidRPr="00AF4EE4">
        <w:rPr>
          <w:rFonts w:ascii="Times New Roman" w:hAnsi="Times New Roman" w:cs="Times New Roman"/>
        </w:rPr>
        <w:t>4- поврежден;</w:t>
      </w:r>
    </w:p>
    <w:p w:rsidR="00AF4EE4" w:rsidRPr="00AF4EE4" w:rsidRDefault="00AF4EE4" w:rsidP="00AF4EE4">
      <w:pPr>
        <w:shd w:val="clear" w:color="auto" w:fill="DDD9C3" w:themeFill="background2" w:themeFillShade="E6"/>
        <w:jc w:val="both"/>
        <w:rPr>
          <w:rFonts w:ascii="Times New Roman" w:hAnsi="Times New Roman" w:cs="Times New Roman"/>
        </w:rPr>
      </w:pPr>
      <w:r w:rsidRPr="00AF4EE4">
        <w:rPr>
          <w:rFonts w:ascii="Times New Roman" w:hAnsi="Times New Roman" w:cs="Times New Roman"/>
        </w:rPr>
        <w:t>5 – истек срок хранения,</w:t>
      </w:r>
    </w:p>
    <w:p w:rsidR="00AF4EE4" w:rsidRPr="00AF4EE4" w:rsidRDefault="00AF4EE4" w:rsidP="00AF4EE4">
      <w:pPr>
        <w:shd w:val="clear" w:color="auto" w:fill="DDD9C3" w:themeFill="background2" w:themeFillShade="E6"/>
        <w:jc w:val="both"/>
        <w:rPr>
          <w:rFonts w:ascii="Times New Roman" w:hAnsi="Times New Roman" w:cs="Times New Roman"/>
        </w:rPr>
      </w:pPr>
      <w:r w:rsidRPr="00AF4EE4">
        <w:rPr>
          <w:rFonts w:ascii="Times New Roman" w:hAnsi="Times New Roman" w:cs="Times New Roman"/>
        </w:rPr>
        <w:t>6 – прочие.</w:t>
      </w:r>
    </w:p>
    <w:p w:rsidR="00AF4EE4" w:rsidRPr="00AF4EE4" w:rsidRDefault="00AF4EE4" w:rsidP="00AF4EE4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i/>
          <w:sz w:val="20"/>
        </w:rPr>
      </w:pPr>
    </w:p>
    <w:p w:rsidR="00A862AB" w:rsidRPr="00AF4EE4" w:rsidRDefault="00A862AB" w:rsidP="00095D25">
      <w:pPr>
        <w:jc w:val="both"/>
        <w:rPr>
          <w:rFonts w:ascii="Times New Roman" w:hAnsi="Times New Roman" w:cs="Times New Roman"/>
        </w:rPr>
      </w:pPr>
    </w:p>
    <w:p w:rsidR="00A862AB" w:rsidRPr="00AF4EE4" w:rsidRDefault="00A862AB" w:rsidP="00095D25">
      <w:pPr>
        <w:shd w:val="clear" w:color="auto" w:fill="DDD9C3" w:themeFill="background2" w:themeFillShade="E6"/>
        <w:jc w:val="both"/>
        <w:rPr>
          <w:rFonts w:ascii="Times New Roman" w:hAnsi="Times New Roman" w:cs="Times New Roman"/>
          <w:b/>
        </w:rPr>
      </w:pPr>
      <w:r w:rsidRPr="00AF4EE4">
        <w:rPr>
          <w:rFonts w:ascii="Times New Roman" w:hAnsi="Times New Roman" w:cs="Times New Roman"/>
          <w:b/>
        </w:rPr>
        <w:t>Варианты целевой функции объекта</w:t>
      </w:r>
      <w:r w:rsidRPr="00AF4EE4">
        <w:t xml:space="preserve"> </w:t>
      </w:r>
      <w:r w:rsidRPr="00AF4EE4">
        <w:rPr>
          <w:rFonts w:ascii="Times New Roman" w:hAnsi="Times New Roman" w:cs="Times New Roman"/>
          <w:b/>
        </w:rPr>
        <w:t>материальных запасов</w:t>
      </w:r>
      <w:proofErr w:type="gramStart"/>
      <w:r w:rsidRPr="00AF4EE4">
        <w:rPr>
          <w:rFonts w:ascii="Times New Roman" w:hAnsi="Times New Roman" w:cs="Times New Roman"/>
          <w:b/>
        </w:rPr>
        <w:t>. :</w:t>
      </w:r>
      <w:proofErr w:type="gramEnd"/>
    </w:p>
    <w:p w:rsidR="00A862AB" w:rsidRPr="00AF4EE4" w:rsidRDefault="00A862AB" w:rsidP="00095D25">
      <w:pPr>
        <w:shd w:val="clear" w:color="auto" w:fill="DDD9C3" w:themeFill="background2" w:themeFillShade="E6"/>
        <w:jc w:val="both"/>
        <w:rPr>
          <w:rFonts w:ascii="Times New Roman" w:hAnsi="Times New Roman" w:cs="Times New Roman"/>
        </w:rPr>
      </w:pPr>
      <w:r w:rsidRPr="00AF4EE4">
        <w:rPr>
          <w:rFonts w:ascii="Times New Roman" w:hAnsi="Times New Roman" w:cs="Times New Roman"/>
        </w:rPr>
        <w:t>1 – использовать;</w:t>
      </w:r>
    </w:p>
    <w:p w:rsidR="00A862AB" w:rsidRPr="00AF4EE4" w:rsidRDefault="00A862AB" w:rsidP="00095D25">
      <w:pPr>
        <w:shd w:val="clear" w:color="auto" w:fill="DDD9C3" w:themeFill="background2" w:themeFillShade="E6"/>
        <w:jc w:val="both"/>
        <w:rPr>
          <w:rFonts w:ascii="Times New Roman" w:hAnsi="Times New Roman" w:cs="Times New Roman"/>
        </w:rPr>
      </w:pPr>
      <w:r w:rsidRPr="00AF4EE4">
        <w:rPr>
          <w:rFonts w:ascii="Times New Roman" w:hAnsi="Times New Roman" w:cs="Times New Roman"/>
        </w:rPr>
        <w:t>2 – продолжить хранение,</w:t>
      </w:r>
    </w:p>
    <w:p w:rsidR="00A862AB" w:rsidRPr="00AF4EE4" w:rsidRDefault="00A862AB" w:rsidP="00095D25">
      <w:pPr>
        <w:shd w:val="clear" w:color="auto" w:fill="DDD9C3" w:themeFill="background2" w:themeFillShade="E6"/>
        <w:jc w:val="both"/>
        <w:rPr>
          <w:rFonts w:ascii="Times New Roman" w:hAnsi="Times New Roman" w:cs="Times New Roman"/>
        </w:rPr>
      </w:pPr>
      <w:r w:rsidRPr="00AF4EE4">
        <w:rPr>
          <w:rFonts w:ascii="Times New Roman" w:hAnsi="Times New Roman" w:cs="Times New Roman"/>
        </w:rPr>
        <w:t>3 –списание,</w:t>
      </w:r>
    </w:p>
    <w:p w:rsidR="00A862AB" w:rsidRPr="00AF4EE4" w:rsidRDefault="00A862AB" w:rsidP="00095D25">
      <w:pPr>
        <w:shd w:val="clear" w:color="auto" w:fill="DDD9C3" w:themeFill="background2" w:themeFillShade="E6"/>
        <w:jc w:val="both"/>
        <w:rPr>
          <w:rFonts w:ascii="Times New Roman" w:hAnsi="Times New Roman" w:cs="Times New Roman"/>
        </w:rPr>
      </w:pPr>
      <w:r w:rsidRPr="00AF4EE4">
        <w:rPr>
          <w:rFonts w:ascii="Times New Roman" w:hAnsi="Times New Roman" w:cs="Times New Roman"/>
        </w:rPr>
        <w:t>4 – ремонт,</w:t>
      </w:r>
    </w:p>
    <w:p w:rsidR="00A862AB" w:rsidRPr="00AF4EE4" w:rsidRDefault="00A862AB" w:rsidP="00095D25">
      <w:pPr>
        <w:shd w:val="clear" w:color="auto" w:fill="DDD9C3" w:themeFill="background2" w:themeFillShade="E6"/>
        <w:jc w:val="both"/>
        <w:rPr>
          <w:rFonts w:ascii="Times New Roman" w:hAnsi="Times New Roman" w:cs="Times New Roman"/>
        </w:rPr>
      </w:pPr>
      <w:r w:rsidRPr="00AF4EE4">
        <w:rPr>
          <w:rFonts w:ascii="Times New Roman" w:hAnsi="Times New Roman" w:cs="Times New Roman"/>
        </w:rPr>
        <w:t xml:space="preserve">5 – </w:t>
      </w:r>
      <w:r w:rsidR="00AF4EE4" w:rsidRPr="00AF4EE4">
        <w:rPr>
          <w:rFonts w:ascii="Times New Roman" w:hAnsi="Times New Roman" w:cs="Times New Roman"/>
        </w:rPr>
        <w:t>прочие</w:t>
      </w:r>
      <w:r w:rsidRPr="00AF4EE4">
        <w:rPr>
          <w:rFonts w:ascii="Times New Roman" w:hAnsi="Times New Roman" w:cs="Times New Roman"/>
        </w:rPr>
        <w:t>.</w:t>
      </w:r>
    </w:p>
    <w:p w:rsidR="00A862AB" w:rsidRPr="00AF4EE4" w:rsidRDefault="00A862AB" w:rsidP="00095D25">
      <w:pPr>
        <w:jc w:val="both"/>
        <w:rPr>
          <w:rFonts w:ascii="Times New Roman" w:hAnsi="Times New Roman" w:cs="Times New Roman"/>
        </w:rPr>
      </w:pPr>
    </w:p>
    <w:p w:rsidR="00A862AB" w:rsidRPr="00AF4EE4" w:rsidRDefault="00A862AB" w:rsidP="00095D25">
      <w:pPr>
        <w:jc w:val="both"/>
        <w:rPr>
          <w:rFonts w:ascii="Times New Roman" w:hAnsi="Times New Roman" w:cs="Times New Roman"/>
        </w:rPr>
      </w:pPr>
      <w:r w:rsidRPr="00AF4EE4">
        <w:rPr>
          <w:rFonts w:ascii="Times New Roman" w:hAnsi="Times New Roman" w:cs="Times New Roman"/>
          <w:b/>
        </w:rPr>
        <w:tab/>
      </w:r>
      <w:r w:rsidRPr="00AF4EE4">
        <w:rPr>
          <w:rFonts w:ascii="Times New Roman" w:hAnsi="Times New Roman" w:cs="Times New Roman"/>
        </w:rPr>
        <w:t>Активы, не соответствующие условиям признания актива в качестве материальных запасов, определяются согласно данным Таблицы 2.</w:t>
      </w:r>
    </w:p>
    <w:p w:rsidR="00A862AB" w:rsidRPr="009557B8" w:rsidRDefault="00A862AB" w:rsidP="00A862AB">
      <w:pPr>
        <w:jc w:val="right"/>
        <w:rPr>
          <w:rFonts w:ascii="Times New Roman" w:hAnsi="Times New Roman" w:cs="Times New Roman"/>
          <w:b/>
          <w:i/>
          <w:sz w:val="20"/>
        </w:rPr>
      </w:pPr>
      <w:r w:rsidRPr="009557B8">
        <w:rPr>
          <w:rFonts w:ascii="Times New Roman" w:hAnsi="Times New Roman" w:cs="Times New Roman"/>
          <w:b/>
          <w:i/>
          <w:sz w:val="20"/>
        </w:rPr>
        <w:t xml:space="preserve">Таблица </w:t>
      </w:r>
      <w:r>
        <w:rPr>
          <w:rFonts w:ascii="Times New Roman" w:hAnsi="Times New Roman" w:cs="Times New Roman"/>
          <w:b/>
          <w:i/>
          <w:sz w:val="20"/>
        </w:rPr>
        <w:t>2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979"/>
        <w:gridCol w:w="1844"/>
        <w:gridCol w:w="2268"/>
        <w:gridCol w:w="3543"/>
      </w:tblGrid>
      <w:tr w:rsidR="00A862AB" w:rsidRPr="009A4370" w:rsidTr="004A46E7">
        <w:tc>
          <w:tcPr>
            <w:tcW w:w="1979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b/>
                <w:sz w:val="20"/>
                <w:szCs w:val="20"/>
              </w:rPr>
              <w:t>Статус объекта материальных запасов</w:t>
            </w:r>
          </w:p>
        </w:tc>
        <w:tc>
          <w:tcPr>
            <w:tcW w:w="1844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функция объекта материальных запасов</w:t>
            </w:r>
          </w:p>
        </w:tc>
        <w:tc>
          <w:tcPr>
            <w:tcW w:w="2268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Соответствует 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b/>
                <w:sz w:val="20"/>
                <w:szCs w:val="20"/>
              </w:rPr>
              <w:t>(не соответствует) условиям признания данного актива в качестве объекта материальных запасов</w:t>
            </w:r>
          </w:p>
        </w:tc>
        <w:tc>
          <w:tcPr>
            <w:tcW w:w="3543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соответствует условиям признания актива в качестве объекта материальных запасов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62AB" w:rsidRPr="009A4370" w:rsidTr="004A46E7">
        <w:tc>
          <w:tcPr>
            <w:tcW w:w="1979" w:type="dxa"/>
          </w:tcPr>
          <w:p w:rsidR="00A862AB" w:rsidRPr="00F32927" w:rsidRDefault="00A862AB" w:rsidP="004A4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A862AB" w:rsidRPr="00F32927" w:rsidRDefault="00A862AB" w:rsidP="004A4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862AB" w:rsidRPr="00F32927" w:rsidRDefault="00A862AB" w:rsidP="004A4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A862AB" w:rsidRPr="00F32927" w:rsidRDefault="00A862AB" w:rsidP="004A46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A862AB" w:rsidRPr="009A4370" w:rsidTr="004A46E7">
        <w:tc>
          <w:tcPr>
            <w:tcW w:w="1979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в запасе (для использования)</w:t>
            </w:r>
          </w:p>
        </w:tc>
        <w:tc>
          <w:tcPr>
            <w:tcW w:w="1844" w:type="dxa"/>
          </w:tcPr>
          <w:p w:rsidR="00A862AB" w:rsidRPr="00F32927" w:rsidRDefault="00A862AB" w:rsidP="004A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использовать;</w:t>
            </w:r>
          </w:p>
        </w:tc>
        <w:tc>
          <w:tcPr>
            <w:tcW w:w="2268" w:type="dxa"/>
          </w:tcPr>
          <w:p w:rsidR="00A862AB" w:rsidRPr="00F32927" w:rsidRDefault="00A862AB" w:rsidP="004A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43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НЕ ПОДЛЕЖИТ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отражению в графах 17,18 Инвентаризационной описи по объектам нефинансовых активов (ф.0504087)</w:t>
            </w:r>
          </w:p>
        </w:tc>
      </w:tr>
      <w:tr w:rsidR="00A862AB" w:rsidRPr="009A4370" w:rsidTr="004A46E7">
        <w:tc>
          <w:tcPr>
            <w:tcW w:w="1979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в запасе (на хранении)</w:t>
            </w:r>
          </w:p>
        </w:tc>
        <w:tc>
          <w:tcPr>
            <w:tcW w:w="1844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62AB" w:rsidRPr="00F32927" w:rsidRDefault="00A862AB" w:rsidP="004A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43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НЕ ПОДЛЕЖИТ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отражению в графах 17,18 Инвентаризационной описи по объектам нефинансовых активов (ф.0504087)</w:t>
            </w:r>
          </w:p>
        </w:tc>
      </w:tr>
      <w:tr w:rsidR="00A862AB" w:rsidRPr="009A4370" w:rsidTr="004A46E7">
        <w:tc>
          <w:tcPr>
            <w:tcW w:w="1979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в запасе (на хранении)</w:t>
            </w:r>
          </w:p>
        </w:tc>
        <w:tc>
          <w:tcPr>
            <w:tcW w:w="1844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продолжить хранение</w:t>
            </w:r>
          </w:p>
        </w:tc>
        <w:tc>
          <w:tcPr>
            <w:tcW w:w="2268" w:type="dxa"/>
          </w:tcPr>
          <w:p w:rsidR="00A862AB" w:rsidRPr="00F32927" w:rsidRDefault="00A862AB" w:rsidP="004A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43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НЕ ПОДЛЕЖИТ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 xml:space="preserve">отражению в графах 17,18 </w:t>
            </w:r>
            <w:r w:rsidRPr="00F32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Инвентаризационной описи по объектам нефинансовых активов (ф.0504087)</w:t>
            </w:r>
          </w:p>
        </w:tc>
      </w:tr>
      <w:tr w:rsidR="00A862AB" w:rsidRPr="009A4370" w:rsidTr="004A46E7">
        <w:tc>
          <w:tcPr>
            <w:tcW w:w="1979" w:type="dxa"/>
          </w:tcPr>
          <w:p w:rsidR="00A862AB" w:rsidRPr="00F32927" w:rsidRDefault="00A862AB" w:rsidP="004A46E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ненадлежащего качества</w:t>
            </w:r>
          </w:p>
        </w:tc>
        <w:tc>
          <w:tcPr>
            <w:tcW w:w="1844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списание</w:t>
            </w:r>
          </w:p>
        </w:tc>
        <w:tc>
          <w:tcPr>
            <w:tcW w:w="2268" w:type="dxa"/>
          </w:tcPr>
          <w:p w:rsidR="00A862AB" w:rsidRPr="00F32927" w:rsidRDefault="00A862AB" w:rsidP="004A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3543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ПОДЛЕЖИТ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A862AB" w:rsidRPr="009A4370" w:rsidTr="004A46E7">
        <w:tc>
          <w:tcPr>
            <w:tcW w:w="1979" w:type="dxa"/>
          </w:tcPr>
          <w:p w:rsidR="00A862AB" w:rsidRPr="00F32927" w:rsidRDefault="00A862AB" w:rsidP="004A46E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ненадлежащего качества</w:t>
            </w:r>
          </w:p>
        </w:tc>
        <w:tc>
          <w:tcPr>
            <w:tcW w:w="1844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2268" w:type="dxa"/>
          </w:tcPr>
          <w:p w:rsidR="00A862AB" w:rsidRPr="00F32927" w:rsidRDefault="00A862AB" w:rsidP="004A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43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НЕ ПОДЛЕЖИТ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отражению в графах 17,18 Инвентаризационной описи по объектам нефинансовых активов (ф.0504087)</w:t>
            </w:r>
          </w:p>
        </w:tc>
      </w:tr>
      <w:tr w:rsidR="00A862AB" w:rsidRPr="009A4370" w:rsidTr="004A46E7">
        <w:tc>
          <w:tcPr>
            <w:tcW w:w="1979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поврежден</w:t>
            </w:r>
          </w:p>
        </w:tc>
        <w:tc>
          <w:tcPr>
            <w:tcW w:w="1844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списание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62AB" w:rsidRPr="00F32927" w:rsidRDefault="00A862AB" w:rsidP="004A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3543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ПОДЛЕЖИТ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  <w:tr w:rsidR="00A862AB" w:rsidRPr="009A4370" w:rsidTr="004A46E7">
        <w:tc>
          <w:tcPr>
            <w:tcW w:w="1979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поврежден</w:t>
            </w:r>
          </w:p>
        </w:tc>
        <w:tc>
          <w:tcPr>
            <w:tcW w:w="1844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2268" w:type="dxa"/>
          </w:tcPr>
          <w:p w:rsidR="00A862AB" w:rsidRPr="00F32927" w:rsidRDefault="00A862AB" w:rsidP="004A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43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НЕ ПОДЛЕЖИТ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отражению в графах 17,18 Инвентаризационной описи по объектам нефинансовых активов (ф.0504087)</w:t>
            </w:r>
          </w:p>
        </w:tc>
      </w:tr>
      <w:tr w:rsidR="00A862AB" w:rsidRPr="009A4370" w:rsidTr="004A46E7">
        <w:tc>
          <w:tcPr>
            <w:tcW w:w="1979" w:type="dxa"/>
          </w:tcPr>
          <w:p w:rsidR="00A862AB" w:rsidRPr="00F32927" w:rsidRDefault="00A862AB" w:rsidP="004A46E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истек срок хранения</w:t>
            </w:r>
          </w:p>
        </w:tc>
        <w:tc>
          <w:tcPr>
            <w:tcW w:w="1844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списание</w:t>
            </w:r>
          </w:p>
        </w:tc>
        <w:tc>
          <w:tcPr>
            <w:tcW w:w="2268" w:type="dxa"/>
          </w:tcPr>
          <w:p w:rsidR="00A862AB" w:rsidRPr="00F32927" w:rsidRDefault="00A862AB" w:rsidP="004A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3543" w:type="dxa"/>
          </w:tcPr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ПОДЛЕЖИТ</w:t>
            </w:r>
          </w:p>
          <w:p w:rsidR="00A862AB" w:rsidRPr="00F32927" w:rsidRDefault="00A862AB" w:rsidP="004A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927">
              <w:rPr>
                <w:rFonts w:ascii="Times New Roman" w:hAnsi="Times New Roman" w:cs="Times New Roman"/>
                <w:sz w:val="20"/>
                <w:szCs w:val="20"/>
              </w:rPr>
              <w:t>отражению в графах 17,18 Инвентаризационной описи по объектам нефинансовых активов (ф.0504087).</w:t>
            </w:r>
          </w:p>
        </w:tc>
      </w:tr>
    </w:tbl>
    <w:p w:rsidR="00A862AB" w:rsidRDefault="00A862AB" w:rsidP="00A862A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862AB" w:rsidRDefault="00A862AB" w:rsidP="00095D25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sz w:val="20"/>
        </w:rPr>
      </w:pPr>
      <w:r w:rsidRPr="009B4AA3">
        <w:rPr>
          <w:rFonts w:ascii="Times New Roman" w:hAnsi="Times New Roman" w:cs="Times New Roman"/>
          <w:b/>
          <w:sz w:val="20"/>
        </w:rPr>
        <w:t>ПРИМЕЧАНИЕ:</w:t>
      </w:r>
    </w:p>
    <w:p w:rsidR="00A862AB" w:rsidRDefault="00A862AB" w:rsidP="00BC5EFE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</w:rPr>
      </w:pPr>
      <w:r w:rsidRPr="009B4AA3">
        <w:rPr>
          <w:rFonts w:ascii="Times New Roman" w:hAnsi="Times New Roman" w:cs="Times New Roman"/>
          <w:i/>
          <w:sz w:val="20"/>
        </w:rPr>
        <w:t>1.Графы 17,18 Инвентаризационной описи по объектам нефинансовых активов (ф.0504087) – «Не соответствует условиям актива», «Количество», «Сумма».</w:t>
      </w:r>
      <w:r w:rsidR="00AF4EE4">
        <w:rPr>
          <w:rFonts w:ascii="Times New Roman" w:hAnsi="Times New Roman" w:cs="Times New Roman"/>
          <w:b/>
        </w:rPr>
        <w:t xml:space="preserve"> </w:t>
      </w:r>
    </w:p>
    <w:sectPr w:rsidR="00A8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8F6"/>
    <w:multiLevelType w:val="hybridMultilevel"/>
    <w:tmpl w:val="A8E87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975FF"/>
    <w:multiLevelType w:val="hybridMultilevel"/>
    <w:tmpl w:val="2DD81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315CB"/>
    <w:multiLevelType w:val="hybridMultilevel"/>
    <w:tmpl w:val="45E2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C5CB5"/>
    <w:multiLevelType w:val="hybridMultilevel"/>
    <w:tmpl w:val="AB94E8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2FA2F96"/>
    <w:multiLevelType w:val="hybridMultilevel"/>
    <w:tmpl w:val="8B5850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AA6B66"/>
    <w:multiLevelType w:val="multilevel"/>
    <w:tmpl w:val="0008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A5FF5"/>
    <w:multiLevelType w:val="hybridMultilevel"/>
    <w:tmpl w:val="6D3896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1774FD8"/>
    <w:multiLevelType w:val="hybridMultilevel"/>
    <w:tmpl w:val="2170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D34E0"/>
    <w:multiLevelType w:val="hybridMultilevel"/>
    <w:tmpl w:val="58307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A3546"/>
    <w:multiLevelType w:val="hybridMultilevel"/>
    <w:tmpl w:val="7AA4516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7AFC73FC"/>
    <w:multiLevelType w:val="hybridMultilevel"/>
    <w:tmpl w:val="B622D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45"/>
    <w:rsid w:val="000136D8"/>
    <w:rsid w:val="000569BD"/>
    <w:rsid w:val="0006309D"/>
    <w:rsid w:val="00095D25"/>
    <w:rsid w:val="00121839"/>
    <w:rsid w:val="00172C7C"/>
    <w:rsid w:val="00177CA5"/>
    <w:rsid w:val="00186320"/>
    <w:rsid w:val="00196CCA"/>
    <w:rsid w:val="001A157A"/>
    <w:rsid w:val="001B402E"/>
    <w:rsid w:val="00211C88"/>
    <w:rsid w:val="00216E26"/>
    <w:rsid w:val="002535F1"/>
    <w:rsid w:val="00267826"/>
    <w:rsid w:val="00274D65"/>
    <w:rsid w:val="002867D5"/>
    <w:rsid w:val="002E0BA7"/>
    <w:rsid w:val="0032798F"/>
    <w:rsid w:val="00345482"/>
    <w:rsid w:val="00377F55"/>
    <w:rsid w:val="003C4DAA"/>
    <w:rsid w:val="003C5D3B"/>
    <w:rsid w:val="004556B3"/>
    <w:rsid w:val="0047575E"/>
    <w:rsid w:val="00493985"/>
    <w:rsid w:val="00512DEF"/>
    <w:rsid w:val="0051779E"/>
    <w:rsid w:val="00536186"/>
    <w:rsid w:val="00656910"/>
    <w:rsid w:val="006804F7"/>
    <w:rsid w:val="006874D5"/>
    <w:rsid w:val="00737BF3"/>
    <w:rsid w:val="00743DF5"/>
    <w:rsid w:val="00790658"/>
    <w:rsid w:val="007B291F"/>
    <w:rsid w:val="007E6FDE"/>
    <w:rsid w:val="007E7735"/>
    <w:rsid w:val="008422A1"/>
    <w:rsid w:val="00844448"/>
    <w:rsid w:val="0085098E"/>
    <w:rsid w:val="00865CFE"/>
    <w:rsid w:val="008773F0"/>
    <w:rsid w:val="008A33FF"/>
    <w:rsid w:val="00965B9E"/>
    <w:rsid w:val="009B35F4"/>
    <w:rsid w:val="009B67ED"/>
    <w:rsid w:val="00A42AD7"/>
    <w:rsid w:val="00A6075F"/>
    <w:rsid w:val="00A862AB"/>
    <w:rsid w:val="00AF4EE4"/>
    <w:rsid w:val="00B16715"/>
    <w:rsid w:val="00B552F4"/>
    <w:rsid w:val="00BA6545"/>
    <w:rsid w:val="00BC5EFE"/>
    <w:rsid w:val="00C13A44"/>
    <w:rsid w:val="00C619C3"/>
    <w:rsid w:val="00C74A7B"/>
    <w:rsid w:val="00CB4220"/>
    <w:rsid w:val="00D4658C"/>
    <w:rsid w:val="00D5033A"/>
    <w:rsid w:val="00D560F8"/>
    <w:rsid w:val="00DB3962"/>
    <w:rsid w:val="00DF0375"/>
    <w:rsid w:val="00E32BA0"/>
    <w:rsid w:val="00E34E31"/>
    <w:rsid w:val="00E660B4"/>
    <w:rsid w:val="00E967E9"/>
    <w:rsid w:val="00E9685A"/>
    <w:rsid w:val="00EB48E4"/>
    <w:rsid w:val="00F10030"/>
    <w:rsid w:val="00F258C9"/>
    <w:rsid w:val="00F32927"/>
    <w:rsid w:val="00F56DCB"/>
    <w:rsid w:val="00F87D73"/>
    <w:rsid w:val="00F91422"/>
    <w:rsid w:val="00FB1816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D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1779E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36D8"/>
    <w:pPr>
      <w:ind w:left="708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136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136D8"/>
    <w:pPr>
      <w:ind w:left="720"/>
      <w:contextualSpacing/>
    </w:pPr>
  </w:style>
  <w:style w:type="paragraph" w:styleId="a6">
    <w:name w:val="Normal (Web)"/>
    <w:basedOn w:val="a"/>
    <w:uiPriority w:val="99"/>
    <w:rsid w:val="00F100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17">
    <w:name w:val="Font Style17"/>
    <w:uiPriority w:val="99"/>
    <w:rsid w:val="00121839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790658"/>
    <w:rPr>
      <w:color w:val="0000FF"/>
      <w:u w:val="single"/>
    </w:rPr>
  </w:style>
  <w:style w:type="paragraph" w:customStyle="1" w:styleId="ConsPlusNormal">
    <w:name w:val="ConsPlusNormal"/>
    <w:rsid w:val="00536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8">
    <w:name w:val="Table Grid"/>
    <w:basedOn w:val="a1"/>
    <w:uiPriority w:val="39"/>
    <w:rsid w:val="00D5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3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A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79E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D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1779E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36D8"/>
    <w:pPr>
      <w:ind w:left="708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136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136D8"/>
    <w:pPr>
      <w:ind w:left="720"/>
      <w:contextualSpacing/>
    </w:pPr>
  </w:style>
  <w:style w:type="paragraph" w:styleId="a6">
    <w:name w:val="Normal (Web)"/>
    <w:basedOn w:val="a"/>
    <w:uiPriority w:val="99"/>
    <w:rsid w:val="00F100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17">
    <w:name w:val="Font Style17"/>
    <w:uiPriority w:val="99"/>
    <w:rsid w:val="00121839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790658"/>
    <w:rPr>
      <w:color w:val="0000FF"/>
      <w:u w:val="single"/>
    </w:rPr>
  </w:style>
  <w:style w:type="paragraph" w:customStyle="1" w:styleId="ConsPlusNormal">
    <w:name w:val="ConsPlusNormal"/>
    <w:rsid w:val="00536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8">
    <w:name w:val="Table Grid"/>
    <w:basedOn w:val="a1"/>
    <w:uiPriority w:val="39"/>
    <w:rsid w:val="00D5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3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A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79E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1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natoktruda.ru/uvolnenie/materialno-otvetstvenno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8B46B08337732C1D072557F9F86D162F5B4CC92341D2E7FA8183CC2BA32079D2AB4C5ED84B5C02D1o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Воронцева Наталия</dc:creator>
  <cp:keywords/>
  <dc:description/>
  <cp:lastModifiedBy>Главный бухгалтер</cp:lastModifiedBy>
  <cp:revision>25</cp:revision>
  <cp:lastPrinted>2019-03-20T12:15:00Z</cp:lastPrinted>
  <dcterms:created xsi:type="dcterms:W3CDTF">2014-07-01T12:41:00Z</dcterms:created>
  <dcterms:modified xsi:type="dcterms:W3CDTF">2020-04-01T12:21:00Z</dcterms:modified>
</cp:coreProperties>
</file>