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C6" w:rsidRDefault="005053C6" w:rsidP="005053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EF1">
        <w:rPr>
          <w:rFonts w:ascii="Times New Roman" w:hAnsi="Times New Roman"/>
          <w:b/>
          <w:sz w:val="28"/>
          <w:szCs w:val="28"/>
        </w:rPr>
        <w:t>Болезни рыб</w:t>
      </w:r>
    </w:p>
    <w:p w:rsidR="005053C6" w:rsidRDefault="005053C6" w:rsidP="005053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EF1">
        <w:rPr>
          <w:rFonts w:ascii="Times New Roman" w:hAnsi="Times New Roman"/>
          <w:b/>
          <w:sz w:val="28"/>
          <w:szCs w:val="28"/>
        </w:rPr>
        <w:t xml:space="preserve">на территории Ханты-Мансийского </w:t>
      </w:r>
    </w:p>
    <w:p w:rsidR="005053C6" w:rsidRDefault="005053C6" w:rsidP="005053C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EF1">
        <w:rPr>
          <w:rFonts w:ascii="Times New Roman" w:hAnsi="Times New Roman"/>
          <w:b/>
          <w:sz w:val="28"/>
          <w:szCs w:val="28"/>
        </w:rPr>
        <w:t xml:space="preserve">автономного округа </w:t>
      </w:r>
      <w:r>
        <w:rPr>
          <w:rFonts w:ascii="Times New Roman" w:hAnsi="Times New Roman"/>
          <w:b/>
          <w:sz w:val="28"/>
          <w:szCs w:val="28"/>
        </w:rPr>
        <w:t>–</w:t>
      </w:r>
      <w:r w:rsidRPr="00125EF1">
        <w:rPr>
          <w:rFonts w:ascii="Times New Roman" w:hAnsi="Times New Roman"/>
          <w:b/>
          <w:sz w:val="28"/>
          <w:szCs w:val="28"/>
        </w:rPr>
        <w:t xml:space="preserve"> Югры</w:t>
      </w:r>
    </w:p>
    <w:p w:rsidR="005053C6" w:rsidRPr="00125EF1" w:rsidRDefault="005053C6" w:rsidP="005053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053C6" w:rsidRPr="00DF5410" w:rsidRDefault="005053C6" w:rsidP="005053C6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территории округа насчитывается более 2 тыс. больших и малых рек общей протяжённостью 172 тыс. км. Главные реки ХМАО - Обь (3650 км) и Иртыш (3580 км) - одни из крупнейших рек России. Кроме них к числу значительных рек следует отнести притоки Оби: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Вах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Аган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Тромъёган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, Большой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Юган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Лямин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, Пим, Большой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Салым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Назым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, Северную Сосьву,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Казым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, а также приток Иртыша - реки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Конду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Согом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. В округе более 10 рек, длина которых превышает 500 км. Для всех рек округа, исключая реки уральской части, характерны небольшие уклоны, низкая скорость течения, весенне-летнее половодье, паводки в тёплое время года, подпорные явления. Обские подпоры распространяются на расстояние 700-200 км от устья притоков, что способствует образованию ларов (пойменных болот) и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соров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(сезонных озёр, образующихся на затопляемых низменных пространствах). </w:t>
      </w:r>
    </w:p>
    <w:p w:rsidR="005053C6" w:rsidRDefault="005053C6" w:rsidP="005053C6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В реках и озёрах водится 42 вида рыб. Промысловыми из них являются только 19 - это стерлядь, нельма, муксун, пелядь (сырок),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чир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щокур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), сиг (пыжьян),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сосьвинская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сельдь (тугун), налим, щука, язь, плотва,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лещь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, елец, окунь, ёрш, золотой и серебряный карась, а в водоёмах-охладителях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Сургутской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ГРЭС выращивают карпа.  Видом, занесённым в Красную книгу, является осётр. </w:t>
      </w:r>
    </w:p>
    <w:p w:rsidR="005053C6" w:rsidRDefault="005053C6" w:rsidP="005053C6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r w:rsidRPr="00CF645A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448D85C" wp14:editId="79A0F9B1">
            <wp:extent cx="6086475" cy="3914775"/>
            <wp:effectExtent l="0" t="0" r="9525" b="9525"/>
            <wp:docPr id="31" name="Рисунок 31" descr="http://www.nvraion.ru/ecology/geographical-description/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vraion.ru/ecology/geographical-description/f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37" cy="405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F645A">
        <w:rPr>
          <w:rFonts w:ascii="Times New Roman" w:eastAsiaTheme="minorEastAsia" w:hAnsi="Times New Roman"/>
          <w:sz w:val="28"/>
          <w:szCs w:val="28"/>
        </w:rPr>
        <w:t xml:space="preserve">     </w:t>
      </w:r>
    </w:p>
    <w:p w:rsidR="005053C6" w:rsidRPr="00CF645A" w:rsidRDefault="005053C6" w:rsidP="005053C6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F645A">
        <w:rPr>
          <w:rFonts w:ascii="Times New Roman" w:eastAsiaTheme="minorEastAsia" w:hAnsi="Times New Roman"/>
          <w:sz w:val="28"/>
          <w:szCs w:val="28"/>
        </w:rPr>
        <w:t xml:space="preserve">  </w:t>
      </w:r>
    </w:p>
    <w:p w:rsidR="005053C6" w:rsidRPr="00DF5410" w:rsidRDefault="005053C6" w:rsidP="005053C6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DF5410">
        <w:rPr>
          <w:rFonts w:ascii="Times New Roman" w:eastAsiaTheme="minorEastAsia" w:hAnsi="Times New Roman"/>
          <w:sz w:val="28"/>
          <w:szCs w:val="28"/>
        </w:rPr>
        <w:t xml:space="preserve">Ханты-Мансийский автономный округ-Югра является крупнейшим природным очагом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</w:rPr>
        <w:t>биогельминтозов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</w:rPr>
        <w:t xml:space="preserve">. На территории Югры самыми </w:t>
      </w:r>
      <w:r w:rsidRPr="00DF5410">
        <w:rPr>
          <w:rFonts w:ascii="Times New Roman" w:eastAsiaTheme="minorEastAsia" w:hAnsi="Times New Roman"/>
          <w:sz w:val="28"/>
          <w:szCs w:val="28"/>
        </w:rPr>
        <w:lastRenderedPageBreak/>
        <w:t>распространенными заболеваниями человека и животных, переносчиками которых является речная рыба, являются описторхоз и дифиллоботриоз. Обь-Иртышский бассейн стационарно неблагополучен по описторхозу и дифиллоботриозу рыб.</w:t>
      </w:r>
      <w:r w:rsidRPr="00DF5410">
        <w:rPr>
          <w:rFonts w:ascii="Arial" w:eastAsiaTheme="minorEastAsia" w:hAnsi="Arial" w:cs="Arial"/>
          <w:sz w:val="18"/>
          <w:szCs w:val="18"/>
          <w:shd w:val="clear" w:color="auto" w:fill="FFFFFF"/>
        </w:rPr>
        <w:t xml:space="preserve"> </w:t>
      </w:r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Обширный круг диких млекопитающих - дефинитивных хозяев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описторха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обеспечивает циркуляцию возбудителя в природных биоценозах. </w:t>
      </w:r>
      <w:r w:rsidRPr="00DF5410">
        <w:rPr>
          <w:rFonts w:ascii="Times New Roman" w:eastAsiaTheme="minorEastAsia" w:hAnsi="Times New Roman"/>
          <w:sz w:val="28"/>
          <w:szCs w:val="28"/>
        </w:rPr>
        <w:t>В Ханты-Мансийском автономном округе – Югре зарегистрировано 2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F5410">
        <w:rPr>
          <w:rFonts w:ascii="Times New Roman" w:eastAsiaTheme="minorEastAsia" w:hAnsi="Times New Roman"/>
          <w:sz w:val="28"/>
          <w:szCs w:val="28"/>
        </w:rPr>
        <w:t>449 рыбопромысловых водоемов, из них 2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F5410">
        <w:rPr>
          <w:rFonts w:ascii="Times New Roman" w:eastAsiaTheme="minorEastAsia" w:hAnsi="Times New Roman"/>
          <w:sz w:val="28"/>
          <w:szCs w:val="28"/>
        </w:rPr>
        <w:t>068 остаются стационарно неблагополучных одновременно по описторхозу и дифиллоботриозу рыб.</w:t>
      </w:r>
      <w:r w:rsidRPr="00DF5410">
        <w:rPr>
          <w:rFonts w:ascii="Georgia" w:eastAsiaTheme="minorEastAsia" w:hAnsi="Georgia" w:cstheme="minorBidi"/>
          <w:sz w:val="28"/>
          <w:szCs w:val="28"/>
          <w:shd w:val="clear" w:color="auto" w:fill="FFFFFF"/>
        </w:rPr>
        <w:t xml:space="preserve"> </w:t>
      </w:r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Возбудителями являются сибирская или кошачья двуустка (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Оpisthorchis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felineus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) и лентец широкий (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Dlphyllobothrium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latum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).</w:t>
      </w:r>
    </w:p>
    <w:p w:rsidR="005053C6" w:rsidRPr="00DF5410" w:rsidRDefault="005053C6" w:rsidP="005053C6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Основными мероприятиями, направленными на предупреждение заражения человека и восприимчивых животных описторхозом и дифиллоботриозом, остается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паразитологическое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исследование рыбы при проведении ветеринарно-санитарной экспертизы, и обезвреживание зараженной рыбы термическими и химическим методами. За отчетный период при проведении 6</w:t>
      </w:r>
      <w:r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</w:t>
      </w:r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726 ветеринарно-санитарных экспертиз рыбы в округе выявлено 540 случаев поражения рыбы жизнеспособными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метацеркариями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опистрохиса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, в связи с чем на обезвреживание направлено 318,08 тонн рыбы. </w:t>
      </w:r>
    </w:p>
    <w:p w:rsidR="005053C6" w:rsidRPr="00DF5410" w:rsidRDefault="005053C6" w:rsidP="005053C6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DF5410">
        <w:rPr>
          <w:rFonts w:ascii="Times New Roman" w:eastAsiaTheme="minorEastAsia" w:hAnsi="Times New Roman"/>
          <w:sz w:val="28"/>
          <w:szCs w:val="28"/>
        </w:rPr>
        <w:t>На начало 2017 года на территории ХМАО-Югры было зарегистрировано 4 рыбоводных хозяйства:</w:t>
      </w:r>
    </w:p>
    <w:p w:rsidR="005053C6" w:rsidRPr="00DF5410" w:rsidRDefault="005053C6" w:rsidP="005053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F5410">
        <w:rPr>
          <w:rFonts w:ascii="Times New Roman" w:eastAsiaTheme="minorEastAsia" w:hAnsi="Times New Roman"/>
          <w:sz w:val="28"/>
          <w:szCs w:val="28"/>
        </w:rPr>
        <w:t xml:space="preserve">ООО «Югорский рыбоводный завод» г. Ханты-Мансийск, специализируется на разведении сиговых </w:t>
      </w:r>
      <w:r w:rsidRPr="00DF541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(нельма, муксун),</w:t>
      </w:r>
      <w:r w:rsidRPr="00DF5410">
        <w:rPr>
          <w:rFonts w:ascii="Times New Roman" w:eastAsiaTheme="minorEastAsia" w:hAnsi="Times New Roman"/>
          <w:sz w:val="28"/>
          <w:szCs w:val="28"/>
        </w:rPr>
        <w:t xml:space="preserve"> осетровых рыб (стерлядь, осетр). </w:t>
      </w:r>
    </w:p>
    <w:p w:rsidR="005053C6" w:rsidRPr="00DF5410" w:rsidRDefault="005053C6" w:rsidP="005053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F5410">
        <w:rPr>
          <w:rFonts w:ascii="Times New Roman" w:eastAsiaTheme="minorEastAsia" w:hAnsi="Times New Roman"/>
          <w:sz w:val="28"/>
          <w:szCs w:val="28"/>
        </w:rPr>
        <w:t>СХНО «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</w:rPr>
        <w:t>Беленгут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</w:rPr>
        <w:t xml:space="preserve">»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</w:rPr>
        <w:t>Кондинский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</w:rPr>
        <w:t xml:space="preserve"> район, занимается разведением пеляди.</w:t>
      </w:r>
    </w:p>
    <w:p w:rsidR="005053C6" w:rsidRPr="00DF5410" w:rsidRDefault="005053C6" w:rsidP="005053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F5410">
        <w:rPr>
          <w:rFonts w:ascii="Times New Roman" w:eastAsiaTheme="minorEastAsia" w:hAnsi="Times New Roman"/>
          <w:sz w:val="28"/>
          <w:szCs w:val="28"/>
        </w:rPr>
        <w:t>КФХ «Сох» г. Нижневартовск, специализируется на выращивания форели речной, осетра (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</w:rPr>
        <w:t>аквакультуры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</w:rPr>
        <w:t>);</w:t>
      </w:r>
    </w:p>
    <w:p w:rsidR="005053C6" w:rsidRPr="00DF5410" w:rsidRDefault="005053C6" w:rsidP="005053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DF5410">
        <w:rPr>
          <w:rFonts w:ascii="Times New Roman" w:eastAsiaTheme="minorEastAsia" w:hAnsi="Times New Roman"/>
          <w:sz w:val="28"/>
          <w:szCs w:val="28"/>
        </w:rPr>
        <w:t>ООО «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</w:rPr>
        <w:t>Сургутский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</w:rPr>
        <w:t xml:space="preserve"> рыбхоз» г. Сургут, специализируется на разведении карпа, форели, осетра;</w:t>
      </w:r>
    </w:p>
    <w:p w:rsidR="005053C6" w:rsidRPr="00DF5410" w:rsidRDefault="005053C6" w:rsidP="005053C6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DF5410">
        <w:rPr>
          <w:rFonts w:ascii="Times New Roman" w:eastAsiaTheme="minorEastAsia" w:hAnsi="Times New Roman"/>
          <w:sz w:val="28"/>
          <w:szCs w:val="28"/>
        </w:rPr>
        <w:t>В конце 2017 года КФХ «Сох» г. Нижневартовск прекратило свою деятельность. На конец отчетного периода осталось 3 рыбоводных хозяйства.</w:t>
      </w:r>
    </w:p>
    <w:p w:rsidR="005053C6" w:rsidRPr="00DF5410" w:rsidRDefault="005053C6" w:rsidP="005053C6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DF5410">
        <w:rPr>
          <w:rFonts w:ascii="Times New Roman" w:eastAsiaTheme="minorEastAsia" w:hAnsi="Times New Roman"/>
          <w:sz w:val="28"/>
          <w:szCs w:val="28"/>
        </w:rPr>
        <w:t xml:space="preserve">За 2017 год с целью профилактики возникновения и распространения грибковых инфекций и болезней, вызываемых простейшими, обработано всех видов рыб 118,663 (тыс. голов). Проведено </w:t>
      </w:r>
      <w:proofErr w:type="spellStart"/>
      <w:r w:rsidRPr="00DF5410">
        <w:rPr>
          <w:rFonts w:ascii="Times New Roman" w:eastAsiaTheme="minorEastAsia" w:hAnsi="Times New Roman"/>
          <w:sz w:val="28"/>
          <w:szCs w:val="28"/>
        </w:rPr>
        <w:t>летование</w:t>
      </w:r>
      <w:proofErr w:type="spellEnd"/>
      <w:r w:rsidRPr="00DF5410">
        <w:rPr>
          <w:rFonts w:ascii="Times New Roman" w:eastAsiaTheme="minorEastAsia" w:hAnsi="Times New Roman"/>
          <w:sz w:val="28"/>
          <w:szCs w:val="28"/>
        </w:rPr>
        <w:t xml:space="preserve"> 2 прудов общей площадью 1 га. Также в течение отчетного периода в рыбоводных хозяйствах проводилась профилактическая дезинфекция 121 бассейна,</w:t>
      </w:r>
      <w:r w:rsidRPr="00DF5410">
        <w:rPr>
          <w:rFonts w:ascii="Times New Roman" w:hAnsi="Times New Roman"/>
          <w:sz w:val="28"/>
          <w:szCs w:val="28"/>
        </w:rPr>
        <w:t xml:space="preserve"> общей площадью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410">
        <w:rPr>
          <w:rFonts w:ascii="Times New Roman" w:hAnsi="Times New Roman"/>
          <w:sz w:val="28"/>
          <w:szCs w:val="28"/>
        </w:rPr>
        <w:t>174,28 м</w:t>
      </w:r>
      <w:r w:rsidRPr="00DF5410">
        <w:rPr>
          <w:rFonts w:ascii="Times New Roman" w:hAnsi="Times New Roman"/>
          <w:sz w:val="28"/>
          <w:szCs w:val="28"/>
          <w:vertAlign w:val="superscript"/>
        </w:rPr>
        <w:t>2</w:t>
      </w:r>
      <w:r w:rsidRPr="00DF5410">
        <w:rPr>
          <w:rFonts w:ascii="Times New Roman" w:hAnsi="Times New Roman"/>
          <w:sz w:val="28"/>
          <w:szCs w:val="28"/>
        </w:rPr>
        <w:t xml:space="preserve">.  </w:t>
      </w:r>
    </w:p>
    <w:p w:rsidR="005053C6" w:rsidRPr="00DF5410" w:rsidRDefault="005053C6" w:rsidP="005053C6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DF5410">
        <w:rPr>
          <w:rFonts w:ascii="Times New Roman" w:eastAsiaTheme="minorEastAsia" w:hAnsi="Times New Roman"/>
          <w:sz w:val="28"/>
          <w:szCs w:val="28"/>
        </w:rPr>
        <w:t>На территории округа случаев возникновения болезней, гибели рыб за прошедший год не зарегистрировано.</w:t>
      </w:r>
    </w:p>
    <w:p w:rsidR="005053C6" w:rsidRDefault="005053C6" w:rsidP="005053C6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DF5410">
        <w:rPr>
          <w:rFonts w:ascii="Times New Roman" w:eastAsiaTheme="minorEastAsia" w:hAnsi="Times New Roman"/>
          <w:sz w:val="28"/>
          <w:szCs w:val="28"/>
        </w:rPr>
        <w:t>На конец отчетного периода осталось 2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F5410">
        <w:rPr>
          <w:rFonts w:ascii="Times New Roman" w:eastAsiaTheme="minorEastAsia" w:hAnsi="Times New Roman"/>
          <w:sz w:val="28"/>
          <w:szCs w:val="28"/>
        </w:rPr>
        <w:t>068 рыбопромысловых водоема, неблагополучных по описторхозу и дифиллоботриозу.</w:t>
      </w:r>
    </w:p>
    <w:p w:rsidR="005053C6" w:rsidRDefault="005053C6" w:rsidP="005053C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425EFF" w:rsidRDefault="00425EFF"/>
    <w:sectPr w:rsidR="00425EFF" w:rsidSect="005053C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4D11"/>
    <w:multiLevelType w:val="hybridMultilevel"/>
    <w:tmpl w:val="E9086EF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36"/>
    <w:rsid w:val="00425EFF"/>
    <w:rsid w:val="005053C6"/>
    <w:rsid w:val="0097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B018"/>
  <w15:chartTrackingRefBased/>
  <w15:docId w15:val="{FC111740-4CBC-4593-A14B-9270CA69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2018-06-22T04:58:00Z</dcterms:created>
  <dcterms:modified xsi:type="dcterms:W3CDTF">2018-06-22T05:00:00Z</dcterms:modified>
</cp:coreProperties>
</file>